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880" w:firstLineChars="200"/>
        <w:rPr>
          <w:rFonts w:ascii="微软雅黑" w:hAnsi="新宋体" w:eastAsia="微软雅黑"/>
          <w:b/>
          <w:sz w:val="44"/>
          <w:szCs w:val="44"/>
        </w:rPr>
      </w:pPr>
      <w:r>
        <w:rPr>
          <w:rStyle w:val="8"/>
          <w:rFonts w:hint="eastAsia" w:ascii="微软雅黑" w:hAnsi="宋体" w:eastAsia="微软雅黑"/>
          <w:sz w:val="44"/>
          <w:szCs w:val="44"/>
        </w:rPr>
        <w:t>湘潭大学学位授权点建设年度报告</w:t>
      </w: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tbl>
      <w:tblPr>
        <w:tblStyle w:val="7"/>
        <w:tblW w:w="5982" w:type="dxa"/>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013" w:type="dxa"/>
            <w:vMerge w:val="restart"/>
            <w:tcBorders>
              <w:top w:val="nil"/>
              <w:left w:val="nil"/>
              <w:bottom w:val="nil"/>
              <w:right w:val="single" w:color="auto" w:sz="4" w:space="0"/>
            </w:tcBorders>
            <w:vAlign w:val="center"/>
          </w:tcPr>
          <w:p>
            <w:pPr>
              <w:rPr>
                <w:rFonts w:ascii="楷体" w:hAnsi="楷体" w:eastAsia="楷体"/>
                <w:b/>
                <w:color w:val="4C4C4C" w:themeColor="text1"/>
                <w:kern w:val="0"/>
                <w:sz w:val="32"/>
                <w:szCs w:val="32"/>
                <w14:textFill>
                  <w14:solidFill>
                    <w14:schemeClr w14:val="tx1"/>
                  </w14:solidFill>
                </w14:textFill>
              </w:rPr>
            </w:pPr>
            <w:r>
              <w:rPr>
                <w:rFonts w:ascii="楷体" w:hAnsi="楷体" w:eastAsia="楷体"/>
                <w:b/>
                <w:color w:val="4C4C4C" w:themeColor="text1"/>
                <w:spacing w:val="60"/>
                <w:kern w:val="0"/>
                <w:sz w:val="32"/>
                <w:szCs w:val="32"/>
                <w:fitText w:val="1644" w:id="0"/>
                <w14:textFill>
                  <w14:solidFill>
                    <w14:schemeClr w14:val="tx1"/>
                  </w14:solidFill>
                </w14:textFill>
              </w:rPr>
              <w:t>授</w:t>
            </w:r>
            <w:r>
              <w:rPr>
                <w:rFonts w:hint="eastAsia" w:ascii="楷体" w:hAnsi="楷体" w:eastAsia="楷体"/>
                <w:b/>
                <w:color w:val="4C4C4C" w:themeColor="text1"/>
                <w:spacing w:val="60"/>
                <w:kern w:val="0"/>
                <w:sz w:val="32"/>
                <w:szCs w:val="32"/>
                <w:fitText w:val="1644" w:id="0"/>
                <w14:textFill>
                  <w14:solidFill>
                    <w14:schemeClr w14:val="tx1"/>
                  </w14:solidFill>
                </w14:textFill>
              </w:rPr>
              <w:t>权学</w:t>
            </w:r>
            <w:r>
              <w:rPr>
                <w:rFonts w:hint="eastAsia" w:ascii="楷体" w:hAnsi="楷体" w:eastAsia="楷体"/>
                <w:b/>
                <w:color w:val="4C4C4C" w:themeColor="text1"/>
                <w:spacing w:val="2"/>
                <w:kern w:val="0"/>
                <w:sz w:val="32"/>
                <w:szCs w:val="32"/>
                <w:fitText w:val="1644" w:id="0"/>
                <w14:textFill>
                  <w14:solidFill>
                    <w14:schemeClr w14:val="tx1"/>
                  </w14:solidFill>
                </w14:textFill>
              </w:rPr>
              <w:t>科</w:t>
            </w:r>
          </w:p>
          <w:p>
            <w:pPr>
              <w:rPr>
                <w:rFonts w:ascii="楷体" w:hAnsi="楷体" w:eastAsia="楷体"/>
                <w:b/>
                <w:color w:val="4C4C4C" w:themeColor="text1"/>
                <w:kern w:val="0"/>
                <w:sz w:val="32"/>
                <w:szCs w:val="32"/>
                <w14:textFill>
                  <w14:solidFill>
                    <w14:schemeClr w14:val="tx1"/>
                  </w14:solidFill>
                </w14:textFill>
              </w:rPr>
            </w:pPr>
            <w:r>
              <w:rPr>
                <w:rFonts w:hint="eastAsia" w:ascii="楷体" w:hAnsi="楷体" w:eastAsia="楷体"/>
                <w:b/>
                <w:color w:val="4C4C4C" w:themeColor="text1"/>
                <w:kern w:val="0"/>
                <w:sz w:val="32"/>
                <w:szCs w:val="32"/>
                <w14:textFill>
                  <w14:solidFill>
                    <w14:schemeClr w14:val="tx1"/>
                  </w14:solidFill>
                </w14:textFill>
              </w:rPr>
              <w:t>（ 类 别 ）</w:t>
            </w:r>
          </w:p>
        </w:tc>
        <w:tc>
          <w:tcPr>
            <w:tcW w:w="3969" w:type="dxa"/>
            <w:tcBorders>
              <w:top w:val="nil"/>
              <w:left w:val="single" w:color="auto" w:sz="4" w:space="0"/>
              <w:right w:val="nil"/>
            </w:tcBorders>
            <w:vAlign w:val="bottom"/>
          </w:tcPr>
          <w:p>
            <w:pPr>
              <w:rPr>
                <w:rFonts w:hint="eastAsia" w:ascii="楷体" w:hAnsi="楷体" w:eastAsia="楷体"/>
                <w:b/>
                <w:color w:val="4C4C4C" w:themeColor="text1"/>
                <w:w w:val="85"/>
                <w:sz w:val="32"/>
                <w:szCs w:val="32"/>
                <w:lang w:val="en-US" w:eastAsia="zh-CN"/>
                <w14:textFill>
                  <w14:solidFill>
                    <w14:schemeClr w14:val="tx1"/>
                  </w14:solidFill>
                </w14:textFill>
              </w:rPr>
            </w:pPr>
            <w:r>
              <w:rPr>
                <w:rFonts w:ascii="楷体" w:hAnsi="楷体" w:eastAsia="楷体"/>
                <w:b/>
                <w:color w:val="4C4C4C" w:themeColor="text1"/>
                <w:w w:val="85"/>
                <w:sz w:val="32"/>
                <w:szCs w:val="32"/>
                <w14:textFill>
                  <w14:solidFill>
                    <w14:schemeClr w14:val="tx1"/>
                  </w14:solidFill>
                </w14:textFill>
              </w:rPr>
              <w:t>名称：</w:t>
            </w:r>
            <w:r>
              <w:rPr>
                <w:rFonts w:hint="eastAsia" w:ascii="楷体" w:hAnsi="楷体" w:eastAsia="楷体"/>
                <w:b/>
                <w:color w:val="4C4C4C" w:themeColor="text1"/>
                <w:w w:val="85"/>
                <w:sz w:val="32"/>
                <w:szCs w:val="32"/>
                <w:lang w:val="en-US" w:eastAsia="zh-CN"/>
                <w14:textFill>
                  <w14:solidFill>
                    <w14:schemeClr w14:val="tx1"/>
                  </w14:solidFill>
                </w14:textFill>
              </w:rPr>
              <w:t>应用统计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013" w:type="dxa"/>
            <w:vMerge w:val="continue"/>
            <w:tcBorders>
              <w:top w:val="nil"/>
              <w:left w:val="nil"/>
              <w:bottom w:val="nil"/>
              <w:right w:val="single" w:color="auto" w:sz="4" w:space="0"/>
            </w:tcBorders>
          </w:tcPr>
          <w:p>
            <w:pPr>
              <w:jc w:val="center"/>
              <w:rPr>
                <w:rFonts w:ascii="楷体" w:hAnsi="楷体" w:eastAsia="楷体"/>
                <w:b/>
                <w:color w:val="4C4C4C" w:themeColor="text1"/>
                <w:sz w:val="32"/>
                <w:szCs w:val="32"/>
                <w14:textFill>
                  <w14:solidFill>
                    <w14:schemeClr w14:val="tx1"/>
                  </w14:solidFill>
                </w14:textFill>
              </w:rPr>
            </w:pPr>
          </w:p>
        </w:tc>
        <w:tc>
          <w:tcPr>
            <w:tcW w:w="3969" w:type="dxa"/>
            <w:tcBorders>
              <w:left w:val="single" w:color="auto" w:sz="4" w:space="0"/>
              <w:bottom w:val="nil"/>
              <w:right w:val="nil"/>
            </w:tcBorders>
            <w:vAlign w:val="bottom"/>
          </w:tcPr>
          <w:p>
            <w:pPr>
              <w:rPr>
                <w:rFonts w:hint="default" w:ascii="楷体" w:hAnsi="楷体" w:eastAsia="楷体"/>
                <w:b/>
                <w:color w:val="4C4C4C" w:themeColor="text1"/>
                <w:sz w:val="32"/>
                <w:szCs w:val="32"/>
                <w:lang w:val="en-US" w:eastAsia="zh-CN"/>
                <w14:textFill>
                  <w14:solidFill>
                    <w14:schemeClr w14:val="tx1"/>
                  </w14:solidFill>
                </w14:textFill>
              </w:rPr>
            </w:pPr>
            <w:r>
              <w:rPr>
                <w:rFonts w:hint="eastAsia" w:ascii="楷体" w:hAnsi="楷体" w:eastAsia="楷体"/>
                <w:b/>
                <w:color w:val="4C4C4C" w:themeColor="text1"/>
                <w:w w:val="85"/>
                <w:sz w:val="32"/>
                <w:szCs w:val="32"/>
                <w14:textFill>
                  <w14:solidFill>
                    <w14:schemeClr w14:val="tx1"/>
                  </w14:solidFill>
                </w14:textFill>
              </w:rPr>
              <w:t>代码</w:t>
            </w:r>
            <w:r>
              <w:rPr>
                <w:rFonts w:ascii="楷体" w:hAnsi="楷体" w:eastAsia="楷体"/>
                <w:b/>
                <w:color w:val="4C4C4C" w:themeColor="text1"/>
                <w:w w:val="85"/>
                <w:sz w:val="32"/>
                <w:szCs w:val="32"/>
                <w14:textFill>
                  <w14:solidFill>
                    <w14:schemeClr w14:val="tx1"/>
                  </w14:solidFill>
                </w14:textFill>
              </w:rPr>
              <w:t>：</w:t>
            </w:r>
            <w:r>
              <w:rPr>
                <w:rFonts w:hint="eastAsia" w:ascii="楷体" w:hAnsi="楷体" w:eastAsia="楷体"/>
                <w:b/>
                <w:color w:val="4C4C4C" w:themeColor="text1"/>
                <w:w w:val="85"/>
                <w:sz w:val="32"/>
                <w:szCs w:val="32"/>
                <w:lang w:val="en-US" w:eastAsia="zh-CN"/>
                <w14:textFill>
                  <w14:solidFill>
                    <w14:schemeClr w14:val="tx1"/>
                  </w14:solidFill>
                </w14:textFill>
              </w:rPr>
              <w:t>0252</w:t>
            </w:r>
          </w:p>
        </w:tc>
      </w:tr>
    </w:tbl>
    <w:p>
      <w:pPr>
        <w:jc w:val="center"/>
        <w:rPr>
          <w:color w:val="4C4C4C" w:themeColor="text1"/>
          <w14:textFill>
            <w14:solidFill>
              <w14:schemeClr w14:val="tx1"/>
            </w14:solidFill>
          </w14:textFill>
        </w:rPr>
      </w:pPr>
    </w:p>
    <w:p>
      <w:pPr>
        <w:jc w:val="center"/>
        <w:rPr>
          <w:color w:val="4C4C4C" w:themeColor="text1"/>
          <w14:textFill>
            <w14:solidFill>
              <w14:schemeClr w14:val="tx1"/>
            </w14:solidFill>
          </w14:textFill>
        </w:rPr>
      </w:pPr>
    </w:p>
    <w:tbl>
      <w:tblPr>
        <w:tblStyle w:val="7"/>
        <w:tblW w:w="5982" w:type="dxa"/>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013" w:type="dxa"/>
            <w:vMerge w:val="restart"/>
            <w:tcBorders>
              <w:top w:val="nil"/>
              <w:left w:val="nil"/>
              <w:bottom w:val="nil"/>
              <w:right w:val="single" w:color="auto" w:sz="4" w:space="0"/>
            </w:tcBorders>
            <w:vAlign w:val="center"/>
          </w:tcPr>
          <w:p>
            <w:pPr>
              <w:rPr>
                <w:rFonts w:ascii="楷体" w:hAnsi="楷体" w:eastAsia="楷体"/>
                <w:b/>
                <w:color w:val="4C4C4C" w:themeColor="text1"/>
                <w:w w:val="85"/>
                <w:sz w:val="32"/>
                <w:szCs w:val="32"/>
                <w14:textFill>
                  <w14:solidFill>
                    <w14:schemeClr w14:val="tx1"/>
                  </w14:solidFill>
                </w14:textFill>
              </w:rPr>
            </w:pPr>
            <w:r>
              <w:rPr>
                <w:rFonts w:ascii="楷体" w:hAnsi="楷体" w:eastAsia="楷体"/>
                <w:b/>
                <w:color w:val="4C4C4C" w:themeColor="text1"/>
                <w:spacing w:val="60"/>
                <w:kern w:val="0"/>
                <w:sz w:val="32"/>
                <w:szCs w:val="32"/>
                <w:fitText w:val="1644" w:id="1"/>
                <w14:textFill>
                  <w14:solidFill>
                    <w14:schemeClr w14:val="tx1"/>
                  </w14:solidFill>
                </w14:textFill>
              </w:rPr>
              <w:t>授</w:t>
            </w:r>
            <w:r>
              <w:rPr>
                <w:rFonts w:hint="eastAsia" w:ascii="楷体" w:hAnsi="楷体" w:eastAsia="楷体"/>
                <w:b/>
                <w:color w:val="4C4C4C" w:themeColor="text1"/>
                <w:spacing w:val="60"/>
                <w:kern w:val="0"/>
                <w:sz w:val="32"/>
                <w:szCs w:val="32"/>
                <w:fitText w:val="1644" w:id="1"/>
                <w14:textFill>
                  <w14:solidFill>
                    <w14:schemeClr w14:val="tx1"/>
                  </w14:solidFill>
                </w14:textFill>
              </w:rPr>
              <w:t>权级</w:t>
            </w:r>
            <w:r>
              <w:rPr>
                <w:rFonts w:hint="eastAsia" w:ascii="楷体" w:hAnsi="楷体" w:eastAsia="楷体"/>
                <w:b/>
                <w:color w:val="4C4C4C" w:themeColor="text1"/>
                <w:spacing w:val="2"/>
                <w:kern w:val="0"/>
                <w:sz w:val="32"/>
                <w:szCs w:val="32"/>
                <w:fitText w:val="1644" w:id="1"/>
                <w14:textFill>
                  <w14:solidFill>
                    <w14:schemeClr w14:val="tx1"/>
                  </w14:solidFill>
                </w14:textFill>
              </w:rPr>
              <w:t>别</w:t>
            </w:r>
          </w:p>
        </w:tc>
        <w:tc>
          <w:tcPr>
            <w:tcW w:w="3969" w:type="dxa"/>
            <w:tcBorders>
              <w:top w:val="nil"/>
              <w:left w:val="single" w:color="auto" w:sz="4" w:space="0"/>
              <w:right w:val="nil"/>
            </w:tcBorders>
            <w:vAlign w:val="bottom"/>
          </w:tcPr>
          <w:p>
            <w:pPr>
              <w:rPr>
                <w:rFonts w:ascii="楷体" w:hAnsi="楷体" w:eastAsia="楷体"/>
                <w:b/>
                <w:color w:val="4C4C4C" w:themeColor="text1"/>
                <w:w w:val="85"/>
                <w:sz w:val="32"/>
                <w:szCs w:val="32"/>
                <w14:textFill>
                  <w14:solidFill>
                    <w14:schemeClr w14:val="tx1"/>
                  </w14:solidFill>
                </w14:textFill>
              </w:rPr>
            </w:pPr>
            <w:r>
              <w:rPr>
                <w:rFonts w:hint="eastAsia" w:ascii="Microsoft JhengHei" w:hAnsi="Microsoft JhengHei" w:eastAsia="宋体"/>
                <w:b/>
                <w:w w:val="135"/>
                <w:sz w:val="30"/>
                <w:lang w:eastAsia="zh-CN"/>
              </w:rPr>
              <w:t>□</w:t>
            </w:r>
            <w:r>
              <w:rPr>
                <w:rFonts w:hint="eastAsia" w:ascii="楷体" w:hAnsi="楷体" w:eastAsia="楷体"/>
                <w:b/>
                <w:color w:val="4C4C4C" w:themeColor="text1"/>
                <w:w w:val="85"/>
                <w:sz w:val="32"/>
                <w:szCs w:val="32"/>
                <w14:textFill>
                  <w14:solidFill>
                    <w14:schemeClr w14:val="tx1"/>
                  </w14:solidFill>
                </w14:textFill>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013" w:type="dxa"/>
            <w:vMerge w:val="continue"/>
            <w:tcBorders>
              <w:top w:val="nil"/>
              <w:left w:val="nil"/>
              <w:bottom w:val="nil"/>
              <w:right w:val="single" w:color="auto" w:sz="4" w:space="0"/>
            </w:tcBorders>
          </w:tcPr>
          <w:p>
            <w:pPr>
              <w:jc w:val="center"/>
              <w:rPr>
                <w:rFonts w:ascii="楷体" w:hAnsi="楷体" w:eastAsia="楷体"/>
                <w:b/>
                <w:color w:val="4C4C4C" w:themeColor="text1"/>
                <w:sz w:val="32"/>
                <w:szCs w:val="32"/>
                <w14:textFill>
                  <w14:solidFill>
                    <w14:schemeClr w14:val="tx1"/>
                  </w14:solidFill>
                </w14:textFill>
              </w:rPr>
            </w:pPr>
          </w:p>
        </w:tc>
        <w:tc>
          <w:tcPr>
            <w:tcW w:w="3969" w:type="dxa"/>
            <w:tcBorders>
              <w:left w:val="single" w:color="auto" w:sz="4" w:space="0"/>
              <w:bottom w:val="nil"/>
              <w:right w:val="nil"/>
            </w:tcBorders>
            <w:vAlign w:val="bottom"/>
          </w:tcPr>
          <w:p>
            <w:pPr>
              <w:rPr>
                <w:rFonts w:ascii="楷体" w:hAnsi="楷体" w:eastAsia="楷体"/>
                <w:b/>
                <w:color w:val="4C4C4C" w:themeColor="text1"/>
                <w:sz w:val="32"/>
                <w:szCs w:val="32"/>
                <w14:textFill>
                  <w14:solidFill>
                    <w14:schemeClr w14:val="tx1"/>
                  </w14:solidFill>
                </w14:textFill>
              </w:rPr>
            </w:pPr>
            <w:r>
              <w:rPr>
                <w:rFonts w:hint="eastAsia" w:ascii="Microsoft JhengHei" w:hAnsi="Microsoft JhengHei" w:eastAsia="宋体"/>
                <w:b/>
                <w:w w:val="135"/>
                <w:sz w:val="30"/>
                <w:lang w:eastAsia="zh-CN"/>
              </w:rPr>
              <w:t>☑</w:t>
            </w:r>
            <w:r>
              <w:rPr>
                <w:rFonts w:hint="eastAsia" w:ascii="楷体" w:hAnsi="楷体" w:eastAsia="楷体"/>
                <w:b/>
                <w:color w:val="4C4C4C" w:themeColor="text1"/>
                <w:w w:val="85"/>
                <w:sz w:val="32"/>
                <w:szCs w:val="32"/>
                <w14:textFill>
                  <w14:solidFill>
                    <w14:schemeClr w14:val="tx1"/>
                  </w14:solidFill>
                </w14:textFill>
              </w:rPr>
              <w:t>硕士</w:t>
            </w:r>
          </w:p>
        </w:tc>
      </w:tr>
    </w:tbl>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560" w:firstLineChars="200"/>
        <w:rPr>
          <w:rFonts w:asciiTheme="minorEastAsia" w:hAnsiTheme="minorEastAsia"/>
          <w:sz w:val="28"/>
          <w:szCs w:val="28"/>
        </w:rPr>
      </w:pPr>
    </w:p>
    <w:p>
      <w:pPr>
        <w:spacing w:line="480" w:lineRule="exact"/>
        <w:ind w:firstLine="643" w:firstLineChars="200"/>
        <w:jc w:val="center"/>
        <w:rPr>
          <w:rStyle w:val="8"/>
          <w:rFonts w:ascii="Times New Roman" w:hAnsi="Times New Roman" w:eastAsia="楷体_GB2312"/>
          <w:b/>
          <w:bCs/>
        </w:rPr>
      </w:pPr>
      <w:r>
        <w:rPr>
          <w:rStyle w:val="8"/>
          <w:rFonts w:hint="eastAsia" w:ascii="Times New Roman" w:hAnsi="Times New Roman" w:eastAsia="楷体_GB2312"/>
          <w:b/>
          <w:bCs/>
        </w:rPr>
        <w:t>202</w:t>
      </w:r>
      <w:r>
        <w:rPr>
          <w:rStyle w:val="8"/>
          <w:rFonts w:hint="eastAsia" w:ascii="Times New Roman" w:hAnsi="Times New Roman" w:eastAsia="楷体_GB2312"/>
          <w:b/>
          <w:bCs/>
          <w:lang w:val="en-US" w:eastAsia="zh-CN"/>
        </w:rPr>
        <w:t>3</w:t>
      </w:r>
      <w:r>
        <w:rPr>
          <w:rStyle w:val="8"/>
          <w:rFonts w:hint="eastAsia" w:ascii="Times New Roman" w:hAnsi="Times New Roman" w:eastAsia="楷体_GB2312"/>
          <w:b/>
          <w:bCs/>
        </w:rPr>
        <w:t xml:space="preserve"> 年</w:t>
      </w:r>
      <w:r>
        <w:rPr>
          <w:rStyle w:val="8"/>
          <w:rFonts w:hint="eastAsia" w:ascii="Times New Roman" w:hAnsi="Times New Roman" w:eastAsia="楷体_GB2312"/>
          <w:b/>
          <w:bCs/>
          <w:lang w:val="en-US" w:eastAsia="zh-CN"/>
        </w:rPr>
        <w:t>2</w:t>
      </w:r>
      <w:r>
        <w:rPr>
          <w:rStyle w:val="8"/>
          <w:rFonts w:hint="eastAsia" w:ascii="Times New Roman" w:hAnsi="Times New Roman" w:eastAsia="楷体_GB2312"/>
          <w:b/>
          <w:bCs/>
        </w:rPr>
        <w:t xml:space="preserve"> 月 </w:t>
      </w:r>
      <w:r>
        <w:rPr>
          <w:rStyle w:val="8"/>
          <w:rFonts w:hint="eastAsia" w:ascii="Times New Roman" w:hAnsi="Times New Roman" w:eastAsia="楷体_GB2312"/>
          <w:b/>
          <w:bCs/>
          <w:lang w:val="en-US" w:eastAsia="zh-CN"/>
        </w:rPr>
        <w:t>9</w:t>
      </w:r>
      <w:r>
        <w:rPr>
          <w:rStyle w:val="8"/>
          <w:rFonts w:hint="eastAsia" w:ascii="Times New Roman" w:hAnsi="Times New Roman" w:eastAsia="楷体_GB2312"/>
          <w:b/>
          <w:bCs/>
        </w:rPr>
        <w:t xml:space="preserve"> 日</w:t>
      </w:r>
    </w:p>
    <w:p>
      <w:pPr/>
      <w:r>
        <w:br w:type="page"/>
      </w:r>
    </w:p>
    <w:p>
      <w:pPr>
        <w:pStyle w:val="9"/>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0"/>
        <w:rPr>
          <w:rFonts w:ascii="黑体" w:hAnsi="黑体" w:eastAsia="黑体" w:cs="仿宋_GB2312"/>
          <w:color w:val="FF0000"/>
          <w:sz w:val="28"/>
          <w:szCs w:val="28"/>
        </w:rPr>
      </w:pPr>
      <w:r>
        <w:rPr>
          <w:rFonts w:hint="eastAsia" w:ascii="黑体" w:hAnsi="黑体" w:eastAsia="黑体" w:cs="黑体"/>
          <w:sz w:val="32"/>
          <w:szCs w:val="32"/>
        </w:rPr>
        <w:t>一、学位授权点基本情况及年度建设情况</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default"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1.1</w:t>
      </w:r>
      <w:r>
        <w:rPr>
          <w:rFonts w:hint="default" w:ascii="仿宋_GB2312" w:hAnsi="仿宋_GB2312" w:eastAsia="仿宋_GB2312" w:cs="仿宋_GB2312"/>
          <w:b/>
          <w:bCs/>
          <w:sz w:val="32"/>
          <w:szCs w:val="32"/>
        </w:rPr>
        <w:t>历史沿革</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0" w:name="1.目标与标准"/>
      <w:bookmarkEnd w:id="0"/>
      <w:bookmarkStart w:id="1" w:name="1.目标与标准"/>
      <w:bookmarkEnd w:id="1"/>
      <w:bookmarkStart w:id="2" w:name="一、学位授权点基本情况"/>
      <w:bookmarkEnd w:id="2"/>
      <w:r>
        <w:rPr>
          <w:rFonts w:hint="eastAsia" w:ascii="仿宋_GB2312" w:hAnsi="仿宋_GB2312" w:eastAsia="仿宋_GB2312" w:cs="仿宋_GB2312"/>
          <w:kern w:val="2"/>
          <w:sz w:val="32"/>
          <w:szCs w:val="32"/>
          <w:lang w:val="en-US" w:eastAsia="zh-CN" w:bidi="ar-SA"/>
        </w:rPr>
        <w:t>应用统计硕士专业学位点在2014年获批后，学院借助数学和统计学学科优势和丰富的研究生培养经验，成立了专门的应用统计专业学位教育指导委员会</w:t>
      </w:r>
      <w:r>
        <w:rPr>
          <w:rFonts w:hint="eastAsia" w:ascii="仿宋_GB2312" w:hAnsi="仿宋_GB2312" w:eastAsia="仿宋_GB2312" w:cs="仿宋_GB2312"/>
          <w:kern w:val="2"/>
          <w:sz w:val="32"/>
          <w:szCs w:val="32"/>
          <w:lang w:eastAsia="zh-CN" w:bidi="ar-SA"/>
        </w:rPr>
        <w:t>和教育管理中心</w:t>
      </w:r>
      <w:r>
        <w:rPr>
          <w:rFonts w:hint="eastAsia" w:ascii="仿宋_GB2312" w:hAnsi="仿宋_GB2312" w:eastAsia="仿宋_GB2312" w:cs="仿宋_GB2312"/>
          <w:kern w:val="2"/>
          <w:sz w:val="32"/>
          <w:szCs w:val="32"/>
          <w:lang w:val="en-US" w:eastAsia="zh-CN" w:bidi="ar-SA"/>
        </w:rPr>
        <w:t>，完善了从招生、培养、实践、到就业发展的管理制度和运行机制，并取得了良好的培养效果。</w:t>
      </w:r>
      <w:r>
        <w:rPr>
          <w:rFonts w:hint="eastAsia" w:ascii="仿宋_GB2312" w:hAnsi="仿宋_GB2312" w:eastAsia="仿宋_GB2312" w:cs="仿宋_GB2312"/>
          <w:kern w:val="2"/>
          <w:sz w:val="32"/>
          <w:szCs w:val="32"/>
          <w:lang w:eastAsia="zh-CN" w:bidi="ar-SA"/>
        </w:rPr>
        <w:t>于2021年通过全国专业学位水平评估。</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1.2培养方向及特色</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学位点不区分培养方向。结合我校以往的科研教学实践、研究生培养经验、现有的实验教学条件，以及数学和统计学学科的优势特色，主要的方向有：生物与环境数据处理，金融风险管理，大数据与优化方法及应用，深度学习</w:t>
      </w:r>
      <w:r>
        <w:rPr>
          <w:rFonts w:hint="default" w:ascii="仿宋_GB2312" w:hAnsi="仿宋_GB2312" w:eastAsia="仿宋_GB2312" w:cs="仿宋_GB2312"/>
          <w:kern w:val="2"/>
          <w:sz w:val="32"/>
          <w:szCs w:val="32"/>
          <w:lang w:eastAsia="zh-CN" w:bidi="ar-SA"/>
        </w:rPr>
        <w:t>及其</w:t>
      </w:r>
      <w:r>
        <w:rPr>
          <w:rFonts w:hint="eastAsia" w:ascii="仿宋_GB2312" w:hAnsi="仿宋_GB2312" w:eastAsia="仿宋_GB2312" w:cs="仿宋_GB2312"/>
          <w:kern w:val="2"/>
          <w:sz w:val="32"/>
          <w:szCs w:val="32"/>
          <w:lang w:val="en-US" w:eastAsia="zh-CN" w:bidi="ar-SA"/>
        </w:rPr>
        <w:t>在图像处理</w:t>
      </w:r>
      <w:r>
        <w:rPr>
          <w:rFonts w:hint="default" w:ascii="仿宋_GB2312" w:hAnsi="仿宋_GB2312" w:eastAsia="仿宋_GB2312" w:cs="仿宋_GB2312"/>
          <w:kern w:val="2"/>
          <w:sz w:val="32"/>
          <w:szCs w:val="32"/>
          <w:lang w:eastAsia="zh-CN" w:bidi="ar-SA"/>
        </w:rPr>
        <w:t>和</w:t>
      </w:r>
      <w:r>
        <w:rPr>
          <w:rFonts w:hint="eastAsia" w:ascii="仿宋_GB2312" w:hAnsi="仿宋_GB2312" w:eastAsia="仿宋_GB2312" w:cs="仿宋_GB2312"/>
          <w:kern w:val="2"/>
          <w:sz w:val="32"/>
          <w:szCs w:val="32"/>
          <w:lang w:val="en-US" w:eastAsia="zh-CN" w:bidi="ar-SA"/>
        </w:rPr>
        <w:t>工业</w:t>
      </w:r>
      <w:r>
        <w:rPr>
          <w:rFonts w:hint="default" w:ascii="仿宋_GB2312" w:hAnsi="仿宋_GB2312" w:eastAsia="仿宋_GB2312" w:cs="仿宋_GB2312"/>
          <w:kern w:val="2"/>
          <w:sz w:val="32"/>
          <w:szCs w:val="32"/>
          <w:lang w:eastAsia="zh-CN" w:bidi="ar-SA"/>
        </w:rPr>
        <w:t>中的</w:t>
      </w:r>
      <w:r>
        <w:rPr>
          <w:rFonts w:hint="eastAsia" w:ascii="仿宋_GB2312" w:hAnsi="仿宋_GB2312" w:eastAsia="仿宋_GB2312" w:cs="仿宋_GB2312"/>
          <w:kern w:val="2"/>
          <w:sz w:val="32"/>
          <w:szCs w:val="32"/>
          <w:lang w:val="en-US" w:eastAsia="zh-CN" w:bidi="ar-SA"/>
        </w:rPr>
        <w:t>应用。</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1.3培养目标</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立足湖南，面向全国，充分发挥地方综合性大学的优势，培养具备良好的专业素质和职业道德，掌握统计学基本理论和方法，具备从事统计数据收集、整理、分析、应用的基本技能，掌握基本统计工具，能够独立从事实际领域的应用统计工作，为政府部门、大中型企业和咨询及研究机构培养掌握数据采集、整理、分析、以及统计建模、推断和预测方法和技术的高层次、应用型统计专门人才。具体要求为：良好的专业素质和职业道德；从事统计数据收集、整理、分析、应用的知识与技能；熟练利用数学和应用统计软件进行统计分析的能力，独立完成对实际问题的统计分析；良好的文献和数据资源检索与利用的能力；掌握一门外语并能实际运用。</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1.4学位标准</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研究生基本学制</w:t>
      </w:r>
      <w:r>
        <w:rPr>
          <w:rFonts w:hint="default"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3 年，实行学分制，总学分不少于 41 学分，其中专业基础课和必修课的学分要求不少于18 学分；其余学分通过选修课、社会实践、学术活动等环节获得。</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1.5导师队伍</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学位点拥有一支年龄、职称和学历结构合理的教学科研队伍，专职导师34人，其中教授19人、副教授11人，博士学位33人；实务导师10余人。</w:t>
      </w:r>
      <w:r>
        <w:rPr>
          <w:rFonts w:hint="default" w:ascii="Times New Roman" w:hAnsi="Times New Roman" w:eastAsia="仿宋_GB2312" w:cs="Times New Roman"/>
          <w:kern w:val="2"/>
          <w:sz w:val="32"/>
          <w:szCs w:val="32"/>
          <w:lang w:eastAsia="zh-CN" w:bidi="ar-SA"/>
        </w:rPr>
        <w:t>学院是</w:t>
      </w:r>
      <w:r>
        <w:rPr>
          <w:rFonts w:hint="default" w:ascii="Times New Roman" w:hAnsi="Times New Roman" w:eastAsia="仿宋_GB2312" w:cs="Times New Roman"/>
          <w:kern w:val="2"/>
          <w:sz w:val="32"/>
          <w:szCs w:val="32"/>
          <w:lang w:val="zh-CN" w:eastAsia="zh-CN" w:bidi="ar-SA"/>
        </w:rPr>
        <w:t>全国教育系统先进集体、</w:t>
      </w:r>
      <w:r>
        <w:rPr>
          <w:rFonts w:hint="eastAsia" w:ascii="仿宋_GB2312" w:hAnsi="仿宋_GB2312" w:eastAsia="仿宋_GB2312" w:cs="仿宋_GB2312"/>
          <w:kern w:val="2"/>
          <w:sz w:val="32"/>
          <w:szCs w:val="32"/>
          <w:lang w:val="en-US" w:eastAsia="zh-CN" w:bidi="ar-SA"/>
        </w:rPr>
        <w:t>“生物与环境数据”统计团队获评</w:t>
      </w:r>
      <w:r>
        <w:rPr>
          <w:rFonts w:hint="default" w:ascii="仿宋_GB2312" w:hAnsi="仿宋_GB2312" w:eastAsia="仿宋_GB2312" w:cs="仿宋_GB2312"/>
          <w:kern w:val="2"/>
          <w:sz w:val="32"/>
          <w:szCs w:val="32"/>
          <w:lang w:eastAsia="zh-CN" w:bidi="ar-SA"/>
        </w:rPr>
        <w:t>湖南省</w:t>
      </w:r>
      <w:r>
        <w:rPr>
          <w:rFonts w:hint="eastAsia" w:ascii="仿宋_GB2312" w:hAnsi="仿宋_GB2312" w:eastAsia="仿宋_GB2312" w:cs="仿宋_GB2312"/>
          <w:kern w:val="2"/>
          <w:sz w:val="32"/>
          <w:szCs w:val="32"/>
          <w:lang w:val="en-US" w:eastAsia="zh-CN" w:bidi="ar-SA"/>
        </w:rPr>
        <w:t>优秀</w:t>
      </w:r>
      <w:r>
        <w:rPr>
          <w:rFonts w:hint="default" w:ascii="仿宋_GB2312" w:hAnsi="仿宋_GB2312" w:eastAsia="仿宋_GB2312" w:cs="仿宋_GB2312"/>
          <w:kern w:val="2"/>
          <w:sz w:val="32"/>
          <w:szCs w:val="32"/>
          <w:lang w:eastAsia="zh-CN" w:bidi="ar-SA"/>
        </w:rPr>
        <w:t>研究生</w:t>
      </w:r>
      <w:r>
        <w:rPr>
          <w:rFonts w:hint="eastAsia" w:ascii="仿宋_GB2312" w:hAnsi="仿宋_GB2312" w:eastAsia="仿宋_GB2312" w:cs="仿宋_GB2312"/>
          <w:kern w:val="2"/>
          <w:sz w:val="32"/>
          <w:szCs w:val="32"/>
          <w:lang w:val="en-US" w:eastAsia="zh-CN" w:bidi="ar-SA"/>
        </w:rPr>
        <w:t>教学团队。多</w:t>
      </w:r>
      <w:r>
        <w:rPr>
          <w:rFonts w:hint="default" w:ascii="仿宋_GB2312" w:hAnsi="仿宋_GB2312" w:eastAsia="仿宋_GB2312" w:cs="仿宋_GB2312"/>
          <w:kern w:val="2"/>
          <w:sz w:val="32"/>
          <w:szCs w:val="32"/>
          <w:lang w:val="en-US" w:eastAsia="zh-CN" w:bidi="ar-SA"/>
        </w:rPr>
        <w:t>人</w:t>
      </w:r>
      <w:r>
        <w:rPr>
          <w:rFonts w:hint="eastAsia" w:ascii="仿宋_GB2312" w:hAnsi="仿宋_GB2312" w:eastAsia="仿宋_GB2312" w:cs="仿宋_GB2312"/>
          <w:kern w:val="2"/>
          <w:sz w:val="32"/>
          <w:szCs w:val="32"/>
          <w:lang w:val="en-US" w:eastAsia="zh-CN" w:bidi="ar-SA"/>
        </w:rPr>
        <w:t>次获国务院政府特殊津贴专家、省芙蓉教学名师、省优秀</w:t>
      </w:r>
      <w:r>
        <w:rPr>
          <w:rFonts w:hint="default" w:ascii="仿宋_GB2312" w:hAnsi="仿宋_GB2312" w:eastAsia="仿宋_GB2312" w:cs="仿宋_GB2312"/>
          <w:kern w:val="2"/>
          <w:sz w:val="32"/>
          <w:szCs w:val="32"/>
          <w:lang w:eastAsia="zh-CN" w:bidi="ar-SA"/>
        </w:rPr>
        <w:t>研究生</w:t>
      </w:r>
      <w:r>
        <w:rPr>
          <w:rFonts w:hint="eastAsia" w:ascii="仿宋_GB2312" w:hAnsi="仿宋_GB2312" w:eastAsia="仿宋_GB2312" w:cs="仿宋_GB2312"/>
          <w:kern w:val="2"/>
          <w:sz w:val="32"/>
          <w:szCs w:val="32"/>
          <w:lang w:val="en-US" w:eastAsia="zh-CN" w:bidi="ar-SA"/>
        </w:rPr>
        <w:t>导师、省“芙蓉学者”青年学者、省杰出青年基金获得者、省优秀青年基金获得者等荣誉称号。</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1.6科学研究</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本学位点立足国家重大战略需求和地方经济建设，以数学和统计学为基础、计算机为工具，发挥我校在数学学科上的优势，着重解决公共部门、现代企业和资源型行业中的原始数据收集、存贮、建模、统计分析、加工处理和开发利用问题，与行业共同构建科研教学平台，为公共部门和现代企业管理提供咨询和决策依据。</w:t>
      </w:r>
      <w:r>
        <w:rPr>
          <w:rFonts w:hint="eastAsia" w:ascii="仿宋_GB2312" w:hAnsi="仿宋_GB2312" w:eastAsia="仿宋_GB2312" w:cs="仿宋_GB2312"/>
          <w:kern w:val="2"/>
          <w:sz w:val="32"/>
          <w:szCs w:val="32"/>
          <w:highlight w:val="none"/>
          <w:lang w:val="en-US" w:eastAsia="zh-CN" w:bidi="ar-SA"/>
        </w:rPr>
        <w:t>2022年承担各级各类科研项目 30余项</w:t>
      </w:r>
      <w:r>
        <w:rPr>
          <w:rFonts w:hint="default" w:ascii="仿宋_GB2312" w:hAnsi="仿宋_GB2312" w:eastAsia="仿宋_GB2312" w:cs="仿宋_GB2312"/>
          <w:kern w:val="2"/>
          <w:sz w:val="32"/>
          <w:szCs w:val="32"/>
          <w:highlight w:val="none"/>
          <w:lang w:eastAsia="zh-CN" w:bidi="ar-SA"/>
        </w:rPr>
        <w:t>，</w:t>
      </w:r>
      <w:r>
        <w:rPr>
          <w:rFonts w:hint="eastAsia" w:ascii="仿宋_GB2312" w:hAnsi="仿宋_GB2312" w:eastAsia="仿宋_GB2312" w:cs="仿宋_GB2312"/>
          <w:kern w:val="2"/>
          <w:sz w:val="32"/>
          <w:szCs w:val="32"/>
          <w:highlight w:val="none"/>
          <w:lang w:val="en-US" w:eastAsia="zh-CN" w:bidi="ar-SA"/>
        </w:rPr>
        <w:t>在国内外期刊上发表论文40余篇。</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1.7人才培养</w:t>
      </w:r>
    </w:p>
    <w:p>
      <w:pPr>
        <w:keepNext w:val="0"/>
        <w:keepLines w:val="0"/>
        <w:pageBreakBefore w:val="0"/>
        <w:widowControl w:val="0"/>
        <w:kinsoku/>
        <w:wordWrap/>
        <w:overflowPunct/>
        <w:topLinePunct w:val="0"/>
        <w:autoSpaceDE/>
        <w:autoSpaceDN/>
        <w:bidi w:val="0"/>
        <w:adjustRightInd w:val="0"/>
        <w:snapToGrid w:val="0"/>
        <w:spacing w:before="95" w:beforeLines="30" w:after="0" w:line="240" w:lineRule="auto"/>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.7.1</w:t>
      </w:r>
      <w:r>
        <w:rPr>
          <w:rFonts w:hint="default" w:ascii="Times New Roman" w:hAnsi="Times New Roman" w:eastAsia="仿宋_GB2312" w:cs="Times New Roman"/>
          <w:kern w:val="2"/>
          <w:sz w:val="32"/>
          <w:szCs w:val="32"/>
          <w:lang w:val="en-US" w:eastAsia="zh-CN" w:bidi="ar-SA"/>
        </w:rPr>
        <w:t>招生选拔</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zh-CN" w:eastAsia="zh-CN" w:bidi="ar-SA"/>
        </w:rPr>
        <w:t>就业发展</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eastAsia="zh-CN" w:bidi="ar-SA"/>
        </w:rPr>
        <w:t>为保证生源质量，积极开展招生宣传，学位点一志愿报考率、上线率均逐年递增。2022年报考人数为276人，录取74人。</w:t>
      </w:r>
      <w:r>
        <w:rPr>
          <w:rFonts w:hint="eastAsia" w:ascii="仿宋_GB2312" w:hAnsi="仿宋_GB2312" w:eastAsia="仿宋_GB2312" w:cs="仿宋_GB2312"/>
          <w:kern w:val="2"/>
          <w:sz w:val="32"/>
          <w:szCs w:val="32"/>
          <w:lang w:val="en-US" w:bidi="ar-SA"/>
        </w:rPr>
        <w:t>202</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bidi="ar-SA"/>
        </w:rPr>
        <w:t>年，学位点毕业生人数为</w:t>
      </w:r>
      <w:bookmarkStart w:id="3" w:name="_GoBack"/>
      <w:r>
        <w:rPr>
          <w:rFonts w:hint="eastAsia" w:ascii="仿宋_GB2312" w:hAnsi="仿宋_GB2312" w:eastAsia="仿宋_GB2312" w:cs="仿宋_GB2312"/>
          <w:color w:val="auto"/>
          <w:kern w:val="2"/>
          <w:sz w:val="32"/>
          <w:szCs w:val="32"/>
          <w:lang w:val="en-US" w:eastAsia="zh-CN" w:bidi="ar-SA"/>
        </w:rPr>
        <w:t>35</w:t>
      </w:r>
      <w:r>
        <w:rPr>
          <w:rFonts w:hint="eastAsia" w:ascii="仿宋_GB2312" w:hAnsi="仿宋_GB2312" w:eastAsia="仿宋_GB2312" w:cs="仿宋_GB2312"/>
          <w:color w:val="auto"/>
          <w:kern w:val="2"/>
          <w:sz w:val="32"/>
          <w:szCs w:val="32"/>
          <w:lang w:val="en-US" w:bidi="ar-SA"/>
        </w:rPr>
        <w:t>名，其中平均年底就业率约为</w:t>
      </w:r>
      <w:r>
        <w:rPr>
          <w:rFonts w:hint="eastAsia" w:ascii="仿宋_GB2312" w:hAnsi="仿宋_GB2312" w:eastAsia="仿宋_GB2312" w:cs="仿宋_GB2312"/>
          <w:color w:val="auto"/>
          <w:kern w:val="2"/>
          <w:sz w:val="32"/>
          <w:szCs w:val="32"/>
          <w:highlight w:val="none"/>
          <w:lang w:val="en-US" w:eastAsia="zh-CN" w:bidi="ar-SA"/>
        </w:rPr>
        <w:t>88.57</w:t>
      </w:r>
      <w:r>
        <w:rPr>
          <w:rFonts w:hint="default" w:ascii="仿宋_GB2312" w:hAnsi="仿宋_GB2312" w:eastAsia="仿宋_GB2312" w:cs="仿宋_GB2312"/>
          <w:color w:val="auto"/>
          <w:kern w:val="2"/>
          <w:sz w:val="32"/>
          <w:szCs w:val="32"/>
          <w:highlight w:val="none"/>
          <w:lang w:val="en-US" w:bidi="ar-SA"/>
        </w:rPr>
        <w:t>%</w:t>
      </w:r>
      <w:r>
        <w:rPr>
          <w:rFonts w:hint="eastAsia" w:ascii="仿宋_GB2312" w:hAnsi="仿宋_GB2312" w:eastAsia="仿宋_GB2312" w:cs="仿宋_GB2312"/>
          <w:color w:val="auto"/>
          <w:kern w:val="2"/>
          <w:sz w:val="32"/>
          <w:szCs w:val="32"/>
          <w:highlight w:val="none"/>
          <w:lang w:val="en-US" w:bidi="ar-SA"/>
        </w:rPr>
        <w:t>。</w:t>
      </w:r>
      <w:bookmarkEnd w:id="3"/>
    </w:p>
    <w:p>
      <w:pPr>
        <w:keepNext w:val="0"/>
        <w:keepLines w:val="0"/>
        <w:pageBreakBefore w:val="0"/>
        <w:widowControl w:val="0"/>
        <w:kinsoku/>
        <w:wordWrap/>
        <w:overflowPunct/>
        <w:topLinePunct w:val="0"/>
        <w:autoSpaceDE/>
        <w:autoSpaceDN/>
        <w:bidi w:val="0"/>
        <w:adjustRightInd w:val="0"/>
        <w:snapToGrid w:val="0"/>
        <w:spacing w:before="95" w:beforeLines="30" w:after="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.7.2思政教育</w:t>
      </w:r>
    </w:p>
    <w:p>
      <w:pPr>
        <w:keepNext w:val="0"/>
        <w:keepLines w:val="0"/>
        <w:pageBreakBefore w:val="0"/>
        <w:widowControl w:val="0"/>
        <w:kinsoku/>
        <w:wordWrap/>
        <w:overflowPunct/>
        <w:topLinePunct w:val="0"/>
        <w:autoSpaceDE/>
        <w:autoSpaceDN/>
        <w:bidi w:val="0"/>
        <w:adjustRightInd w:val="0"/>
        <w:snapToGrid w:val="0"/>
        <w:spacing w:before="95" w:beforeLines="30" w:after="0" w:line="240" w:lineRule="auto"/>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zh-CN" w:eastAsia="zh-CN" w:bidi="ar-SA"/>
        </w:rPr>
        <w:t>学院</w:t>
      </w:r>
      <w:r>
        <w:rPr>
          <w:rFonts w:hint="default" w:ascii="Times New Roman" w:hAnsi="Times New Roman" w:eastAsia="仿宋_GB2312" w:cs="Times New Roman"/>
          <w:kern w:val="2"/>
          <w:sz w:val="32"/>
          <w:szCs w:val="32"/>
          <w:lang w:val="en-US" w:eastAsia="zh-CN" w:bidi="ar-SA"/>
        </w:rPr>
        <w:t>以习近平新时代中国特色社会主义思想为指导，</w:t>
      </w:r>
      <w:r>
        <w:rPr>
          <w:rFonts w:hint="default" w:ascii="Times New Roman" w:hAnsi="Times New Roman" w:eastAsia="仿宋_GB2312" w:cs="Times New Roman"/>
          <w:kern w:val="2"/>
          <w:sz w:val="32"/>
          <w:szCs w:val="32"/>
          <w:lang w:val="zh-CN" w:eastAsia="zh-CN" w:bidi="ar-SA"/>
        </w:rPr>
        <w:t>依托学校红色基因，始终坚持“牢记嘱托守初心、立德树人担使命、凝练特色创一流”，定期举办“师道大讲堂”“课程思政思享会”“教学示范课”等活动，引领教师以德立身、以德立学、以德立教，切实落实“三全育人”重点任务和各项工作，是全国教育系统先进集体、</w:t>
      </w:r>
      <w:r>
        <w:rPr>
          <w:rFonts w:hint="eastAsia" w:ascii="Times New Roman" w:hAnsi="Times New Roman" w:eastAsia="仿宋_GB2312" w:cs="Times New Roman"/>
          <w:kern w:val="2"/>
          <w:sz w:val="32"/>
          <w:szCs w:val="32"/>
          <w:lang w:val="en-US" w:eastAsia="zh-CN" w:bidi="ar-SA"/>
        </w:rPr>
        <w:t>全国党建工作“标杆院系”培育创建单位</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通过加强研究生党支部建设，改进研究生教风学风，健全院、</w:t>
      </w:r>
      <w:r>
        <w:rPr>
          <w:rFonts w:hint="default" w:ascii="Times New Roman" w:hAnsi="Times New Roman" w:eastAsia="仿宋_GB2312" w:cs="Times New Roman"/>
          <w:kern w:val="2"/>
          <w:sz w:val="32"/>
          <w:szCs w:val="32"/>
          <w:lang w:eastAsia="zh-CN" w:bidi="ar-SA"/>
        </w:rPr>
        <w:t>学位点、</w:t>
      </w:r>
      <w:r>
        <w:rPr>
          <w:rFonts w:hint="default" w:ascii="Times New Roman" w:hAnsi="Times New Roman" w:eastAsia="仿宋_GB2312" w:cs="Times New Roman"/>
          <w:kern w:val="2"/>
          <w:sz w:val="32"/>
          <w:szCs w:val="32"/>
          <w:lang w:val="en-US" w:eastAsia="zh-CN" w:bidi="ar-SA"/>
        </w:rPr>
        <w:t>导师</w:t>
      </w:r>
      <w:r>
        <w:rPr>
          <w:rFonts w:hint="default" w:ascii="Times New Roman" w:hAnsi="Times New Roman" w:eastAsia="仿宋_GB2312" w:cs="Times New Roman"/>
          <w:kern w:val="2"/>
          <w:sz w:val="32"/>
          <w:szCs w:val="32"/>
          <w:lang w:eastAsia="zh-CN" w:bidi="ar-SA"/>
        </w:rPr>
        <w:t>和实务部门</w:t>
      </w:r>
      <w:r>
        <w:rPr>
          <w:rFonts w:hint="default" w:ascii="Times New Roman" w:hAnsi="Times New Roman" w:eastAsia="仿宋_GB2312" w:cs="Times New Roman"/>
          <w:kern w:val="2"/>
          <w:sz w:val="32"/>
          <w:szCs w:val="32"/>
          <w:lang w:val="en-US" w:eastAsia="zh-CN" w:bidi="ar-SA"/>
        </w:rPr>
        <w:t>协同育人体系</w:t>
      </w:r>
      <w:r>
        <w:rPr>
          <w:rFonts w:hint="default" w:ascii="Times New Roman" w:hAnsi="Times New Roman" w:eastAsia="仿宋_GB2312" w:cs="Times New Roman"/>
          <w:kern w:val="2"/>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before="95" w:beforeLines="30" w:after="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.7.3课程教学</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学院始终高度重视研究生课程建设，</w:t>
      </w:r>
      <w:r>
        <w:rPr>
          <w:rFonts w:hint="default" w:ascii="Times New Roman" w:hAnsi="Times New Roman" w:eastAsia="仿宋_GB2312" w:cs="Times New Roman"/>
          <w:kern w:val="2"/>
          <w:sz w:val="32"/>
          <w:szCs w:val="32"/>
          <w:lang w:eastAsia="zh-CN" w:bidi="ar-SA"/>
        </w:rPr>
        <w:t>近年来，依</w:t>
      </w:r>
      <w:r>
        <w:rPr>
          <w:rFonts w:hint="default" w:ascii="Times New Roman" w:hAnsi="Times New Roman" w:eastAsia="仿宋_GB2312" w:cs="Times New Roman"/>
          <w:kern w:val="2"/>
          <w:sz w:val="32"/>
          <w:szCs w:val="32"/>
          <w:lang w:eastAsia="zh-TW" w:bidi="ar-SA"/>
        </w:rPr>
        <w:t>据教育部</w:t>
      </w:r>
      <w:r>
        <w:rPr>
          <w:rFonts w:hint="default" w:ascii="Times New Roman" w:hAnsi="Times New Roman" w:eastAsia="仿宋_GB2312" w:cs="Times New Roman"/>
          <w:kern w:val="2"/>
          <w:sz w:val="32"/>
          <w:szCs w:val="32"/>
          <w:lang w:val="zh-CN" w:eastAsia="zh-TW" w:bidi="ar-SA"/>
        </w:rPr>
        <w:t>《关于改进和加强研究生课程建设的意见》，规范和推进研究生课程建设，提升研究生课程质量和教学水平</w:t>
      </w:r>
      <w:r>
        <w:rPr>
          <w:rFonts w:hint="default" w:ascii="Times New Roman" w:hAnsi="Times New Roman" w:eastAsia="仿宋_GB2312" w:cs="Times New Roman"/>
          <w:kern w:val="2"/>
          <w:sz w:val="32"/>
          <w:szCs w:val="32"/>
          <w:lang w:eastAsia="zh-TW" w:bidi="ar-SA"/>
        </w:rPr>
        <w:t>，</w:t>
      </w:r>
      <w:r>
        <w:rPr>
          <w:rFonts w:hint="default" w:ascii="Times New Roman" w:hAnsi="Times New Roman" w:eastAsia="仿宋_GB2312" w:cs="Times New Roman"/>
          <w:kern w:val="2"/>
          <w:sz w:val="32"/>
          <w:szCs w:val="32"/>
          <w:lang w:val="zh-CN" w:eastAsia="zh-TW" w:bidi="ar-SA"/>
        </w:rPr>
        <w:t>抓好课堂教学、</w:t>
      </w:r>
      <w:r>
        <w:rPr>
          <w:rFonts w:hint="default" w:ascii="Times New Roman" w:hAnsi="Times New Roman" w:eastAsia="仿宋_GB2312" w:cs="Times New Roman"/>
          <w:kern w:val="2"/>
          <w:sz w:val="32"/>
          <w:szCs w:val="32"/>
          <w:lang w:eastAsia="zh-TW" w:bidi="ar-SA"/>
        </w:rPr>
        <w:t>坚持应用实践育人等</w:t>
      </w:r>
      <w:r>
        <w:rPr>
          <w:rFonts w:hint="default" w:ascii="Times New Roman" w:hAnsi="Times New Roman" w:eastAsia="仿宋_GB2312" w:cs="Times New Roman"/>
          <w:kern w:val="2"/>
          <w:sz w:val="32"/>
          <w:szCs w:val="32"/>
          <w:lang w:val="zh-CN" w:eastAsia="zh-TW" w:bidi="ar-SA"/>
        </w:rPr>
        <w:t>。</w:t>
      </w:r>
      <w:r>
        <w:rPr>
          <w:rFonts w:hint="eastAsia" w:ascii="仿宋_GB2312" w:hAnsi="仿宋_GB2312" w:eastAsia="仿宋_GB2312" w:cs="仿宋_GB2312"/>
          <w:kern w:val="2"/>
          <w:sz w:val="32"/>
          <w:szCs w:val="32"/>
          <w:lang w:val="en-US" w:eastAsia="zh-CN" w:bidi="ar-SA"/>
        </w:rPr>
        <w:t>以教学科研突出的</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副</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教授为课程负责人，选拔优秀青年导师任辅讲教师，形成结构合理的课程教学团队。面向全体研究生开设探索性数据分析，回归分析等</w:t>
      </w:r>
      <w:r>
        <w:rPr>
          <w:rFonts w:hint="default"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13</w:t>
      </w: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门学位课程。开设数量不等的研究方向课与专题讨论课，课程设置具有科学性和合理性，紧跟研究前沿。</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严格按照学校相关规章制度对研究生培养各环节进行跟踪检查。根据应用统计专业学位发展特征和学院实际情况，既开设了基本的数据采集、整理和分析等方面的课程，也开设了统计</w:t>
      </w:r>
      <w:r>
        <w:rPr>
          <w:rFonts w:hint="default" w:ascii="仿宋_GB2312" w:hAnsi="仿宋_GB2312" w:eastAsia="仿宋_GB2312" w:cs="仿宋_GB2312"/>
          <w:kern w:val="2"/>
          <w:sz w:val="32"/>
          <w:szCs w:val="32"/>
          <w:lang w:eastAsia="zh-CN" w:bidi="ar-SA"/>
        </w:rPr>
        <w:t>计算、探索性数据分析、复杂数据分析、机器学习</w:t>
      </w:r>
      <w:r>
        <w:rPr>
          <w:rFonts w:hint="eastAsia" w:ascii="仿宋_GB2312" w:hAnsi="仿宋_GB2312" w:eastAsia="仿宋_GB2312" w:cs="仿宋_GB2312"/>
          <w:kern w:val="2"/>
          <w:sz w:val="32"/>
          <w:szCs w:val="32"/>
          <w:lang w:val="en-US" w:eastAsia="zh-CN" w:bidi="ar-SA"/>
        </w:rPr>
        <w:t>等方面的课程，并增加了校外资源参与的短期课程，强化研究生创新实践培养。校院两级督导团深入研究生教学活动，对课程教学全程进行质量监控。</w:t>
      </w:r>
    </w:p>
    <w:p>
      <w:pPr>
        <w:keepNext w:val="0"/>
        <w:keepLines w:val="0"/>
        <w:pageBreakBefore w:val="0"/>
        <w:widowControl w:val="0"/>
        <w:kinsoku/>
        <w:wordWrap/>
        <w:overflowPunct/>
        <w:topLinePunct w:val="0"/>
        <w:autoSpaceDE/>
        <w:autoSpaceDN/>
        <w:bidi w:val="0"/>
        <w:adjustRightInd w:val="0"/>
        <w:snapToGrid w:val="0"/>
        <w:spacing w:before="95" w:beforeLines="30" w:after="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.7.4导师指导</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学位点建立了完善的导师遴选、培训和评价管理制度。实行团队化培养，结合学院科学研究方向，凝结成</w:t>
      </w:r>
      <w:r>
        <w:rPr>
          <w:rFonts w:hint="default" w:ascii="仿宋_GB2312" w:hAnsi="仿宋_GB2312" w:eastAsia="仿宋_GB2312" w:cs="仿宋_GB2312"/>
          <w:kern w:val="2"/>
          <w:sz w:val="32"/>
          <w:szCs w:val="32"/>
          <w:lang w:eastAsia="zh-CN" w:bidi="ar-SA"/>
        </w:rPr>
        <w:t>5</w:t>
      </w:r>
      <w:r>
        <w:rPr>
          <w:rFonts w:hint="eastAsia" w:ascii="仿宋_GB2312" w:hAnsi="仿宋_GB2312" w:eastAsia="仿宋_GB2312" w:cs="仿宋_GB2312"/>
          <w:kern w:val="2"/>
          <w:sz w:val="32"/>
          <w:szCs w:val="32"/>
          <w:lang w:val="en-US" w:eastAsia="zh-CN" w:bidi="ar-SA"/>
        </w:rPr>
        <w:t>个导师团队，共同开设专业方向课程，共同指导、培养学生。积极资助校内导师到实务部门挂职锻炼或合作实践，实务导师来校开设实务讲座、案例分析等活动，提升导师队伍整体水平。</w:t>
      </w:r>
    </w:p>
    <w:p>
      <w:pPr>
        <w:keepNext w:val="0"/>
        <w:keepLines w:val="0"/>
        <w:pageBreakBefore w:val="0"/>
        <w:widowControl w:val="0"/>
        <w:kinsoku/>
        <w:wordWrap/>
        <w:overflowPunct/>
        <w:topLinePunct w:val="0"/>
        <w:autoSpaceDE/>
        <w:autoSpaceDN/>
        <w:bidi w:val="0"/>
        <w:adjustRightInd w:val="0"/>
        <w:snapToGrid w:val="0"/>
        <w:spacing w:before="95" w:beforeLines="30" w:after="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.7.5学术训练及学术交流</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pPr>
      <w:r>
        <w:rPr>
          <w:rFonts w:hint="eastAsia" w:ascii="仿宋_GB2312" w:hAnsi="仿宋_GB2312" w:eastAsia="仿宋_GB2312" w:cs="仿宋_GB2312"/>
          <w:kern w:val="2"/>
          <w:sz w:val="32"/>
          <w:szCs w:val="32"/>
          <w:lang w:val="en-US" w:eastAsia="zh-CN" w:bidi="ar-SA"/>
        </w:rPr>
        <w:t>学位点在培养研究生科研、创新和实践能力方面制定了一系列切实可行的制度，形成了一套行之有效的方法。引导研究生将学术训练和研究课题选取与导师承担的科研项目相结合；引导研究生选择创新性强、富有挑战性的基础研究或应用研究课题进行科学研究。</w:t>
      </w:r>
      <w:r>
        <w:rPr>
          <w:rFonts w:hint="default" w:ascii="仿宋_GB2312" w:hAnsi="仿宋_GB2312" w:eastAsia="仿宋_GB2312" w:cs="仿宋_GB2312"/>
          <w:kern w:val="2"/>
          <w:sz w:val="32"/>
          <w:szCs w:val="32"/>
          <w:lang w:val="zh-CN" w:eastAsia="zh-TW" w:bidi="ar-SA"/>
        </w:rPr>
        <w:t>获得第五届全国应⽤统计专业学位研究⽣案例⼤赛</w:t>
      </w:r>
      <w:r>
        <w:rPr>
          <w:rFonts w:hint="eastAsia" w:ascii="仿宋_GB2312" w:hAnsi="仿宋_GB2312" w:eastAsia="仿宋_GB2312" w:cs="仿宋_GB2312"/>
          <w:kern w:val="2"/>
          <w:sz w:val="32"/>
          <w:szCs w:val="32"/>
          <w:lang w:val="en-US" w:eastAsia="zh-CN" w:bidi="ar-SA"/>
        </w:rPr>
        <w:t>二等奖1项、三等奖3项</w:t>
      </w:r>
      <w:r>
        <w:rPr>
          <w:rFonts w:hint="default" w:ascii="仿宋_GB2312" w:hAnsi="仿宋_GB2312" w:eastAsia="仿宋_GB2312" w:cs="仿宋_GB2312"/>
          <w:kern w:val="2"/>
          <w:sz w:val="32"/>
          <w:szCs w:val="32"/>
          <w:lang w:val="zh-CN" w:eastAsia="zh-TW" w:bidi="ar-SA"/>
        </w:rPr>
        <w:t>。</w:t>
      </w:r>
      <w:r>
        <w:rPr>
          <w:rFonts w:hint="default" w:ascii="Times New Roman" w:hAnsi="Times New Roman" w:eastAsia="仿宋_GB2312" w:cs="Times New Roman"/>
          <w:kern w:val="2"/>
          <w:sz w:val="32"/>
          <w:szCs w:val="32"/>
          <w:lang w:val="zh-CN" w:eastAsia="zh-TW" w:bidi="ar-SA"/>
        </w:rPr>
        <w:t>学院设有可容纳10人-90人规模的讨论室10间</w:t>
      </w:r>
      <w:r>
        <w:rPr>
          <w:rFonts w:hint="default" w:ascii="Times New Roman" w:hAnsi="Times New Roman" w:eastAsia="仿宋_GB2312" w:cs="Times New Roman"/>
          <w:kern w:val="2"/>
          <w:sz w:val="32"/>
          <w:szCs w:val="32"/>
          <w:lang w:val="zh-TW" w:eastAsia="zh-TW" w:bidi="ar-SA"/>
        </w:rPr>
        <w:t>。</w:t>
      </w:r>
      <w:r>
        <w:rPr>
          <w:rFonts w:hint="default" w:ascii="Times New Roman" w:hAnsi="Times New Roman" w:eastAsia="仿宋_GB2312" w:cs="Times New Roman"/>
          <w:kern w:val="2"/>
          <w:sz w:val="32"/>
          <w:szCs w:val="32"/>
          <w:lang w:val="en-US" w:bidi="ar-SA"/>
        </w:rPr>
        <w:t>202</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zh-TW" w:eastAsia="zh-TW" w:bidi="ar-SA"/>
        </w:rPr>
        <w:t>年共开设讨论班</w:t>
      </w:r>
      <w:r>
        <w:rPr>
          <w:rFonts w:hint="default" w:ascii="Times New Roman" w:hAnsi="Times New Roman" w:eastAsia="仿宋_GB2312" w:cs="Times New Roman"/>
          <w:kern w:val="2"/>
          <w:sz w:val="32"/>
          <w:szCs w:val="32"/>
          <w:lang w:eastAsia="zh-TW" w:bidi="ar-SA"/>
        </w:rPr>
        <w:t>2</w:t>
      </w:r>
      <w:r>
        <w:rPr>
          <w:rFonts w:hint="default" w:ascii="Times New Roman" w:hAnsi="Times New Roman" w:eastAsia="仿宋_GB2312" w:cs="Times New Roman"/>
          <w:kern w:val="2"/>
          <w:sz w:val="32"/>
          <w:szCs w:val="32"/>
          <w:lang w:val="en-US" w:bidi="ar-SA"/>
        </w:rPr>
        <w:t>0</w:t>
      </w:r>
      <w:r>
        <w:rPr>
          <w:rFonts w:hint="default" w:ascii="Times New Roman" w:hAnsi="Times New Roman" w:eastAsia="仿宋_GB2312" w:cs="Times New Roman"/>
          <w:kern w:val="2"/>
          <w:sz w:val="32"/>
          <w:szCs w:val="32"/>
          <w:lang w:val="zh-TW" w:eastAsia="zh-TW" w:bidi="ar-SA"/>
        </w:rPr>
        <w:t>余</w:t>
      </w:r>
      <w:r>
        <w:rPr>
          <w:rFonts w:hint="default" w:ascii="Times New Roman" w:hAnsi="Times New Roman" w:eastAsia="仿宋_GB2312" w:cs="Times New Roman"/>
          <w:kern w:val="2"/>
          <w:sz w:val="32"/>
          <w:szCs w:val="32"/>
          <w:lang w:val="zh-CN" w:eastAsia="zh-TW" w:bidi="ar-SA"/>
        </w:rPr>
        <w:t>个</w:t>
      </w:r>
      <w:r>
        <w:rPr>
          <w:rFonts w:hint="default" w:ascii="Times New Roman" w:hAnsi="Times New Roman" w:eastAsia="仿宋_GB2312" w:cs="Times New Roman"/>
          <w:kern w:val="2"/>
          <w:sz w:val="32"/>
          <w:szCs w:val="32"/>
          <w:lang w:val="zh-TW" w:eastAsia="zh-TW" w:bidi="ar-SA"/>
        </w:rPr>
        <w:t>。</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highlight w:val="none"/>
          <w:lang w:val="en-US" w:bidi="ar-SA"/>
        </w:rPr>
      </w:pPr>
      <w:r>
        <w:rPr>
          <w:rFonts w:hint="default" w:ascii="Times New Roman" w:hAnsi="Times New Roman" w:eastAsia="仿宋_GB2312" w:cs="Times New Roman"/>
          <w:kern w:val="2"/>
          <w:sz w:val="32"/>
          <w:szCs w:val="32"/>
          <w:highlight w:val="none"/>
          <w:lang w:val="zh-CN" w:bidi="ar-SA"/>
        </w:rPr>
        <w:t>积极开展与国内外高校或科研机构</w:t>
      </w:r>
      <w:r>
        <w:rPr>
          <w:rFonts w:hint="default" w:ascii="Times New Roman" w:hAnsi="Times New Roman" w:eastAsia="仿宋_GB2312" w:cs="Times New Roman"/>
          <w:kern w:val="2"/>
          <w:sz w:val="32"/>
          <w:szCs w:val="32"/>
          <w:highlight w:val="none"/>
          <w:lang w:bidi="ar-SA"/>
        </w:rPr>
        <w:t>的研究生</w:t>
      </w:r>
      <w:r>
        <w:rPr>
          <w:rFonts w:hint="default" w:ascii="Times New Roman" w:hAnsi="Times New Roman" w:eastAsia="仿宋_GB2312" w:cs="Times New Roman"/>
          <w:kern w:val="2"/>
          <w:sz w:val="32"/>
          <w:szCs w:val="32"/>
          <w:highlight w:val="none"/>
          <w:lang w:val="zh-CN" w:bidi="ar-SA"/>
        </w:rPr>
        <w:t>联合培养。202</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zh-CN" w:bidi="ar-SA"/>
        </w:rPr>
        <w:t>年，</w:t>
      </w:r>
      <w:r>
        <w:rPr>
          <w:rFonts w:hint="eastAsia" w:ascii="仿宋_GB2312" w:hAnsi="仿宋_GB2312" w:eastAsia="仿宋_GB2312" w:cs="仿宋_GB2312"/>
          <w:kern w:val="2"/>
          <w:sz w:val="32"/>
          <w:szCs w:val="32"/>
          <w:highlight w:val="none"/>
          <w:lang w:val="en-US" w:bidi="ar-SA"/>
        </w:rPr>
        <w:t>支持导师参会</w:t>
      </w:r>
      <w:r>
        <w:rPr>
          <w:rFonts w:hint="eastAsia" w:ascii="仿宋_GB2312" w:hAnsi="仿宋_GB2312" w:eastAsia="仿宋_GB2312" w:cs="仿宋_GB2312"/>
          <w:kern w:val="2"/>
          <w:sz w:val="32"/>
          <w:szCs w:val="32"/>
          <w:highlight w:val="none"/>
          <w:lang w:val="en-US" w:eastAsia="zh-CN" w:bidi="ar-SA"/>
        </w:rPr>
        <w:t>40</w:t>
      </w:r>
      <w:r>
        <w:rPr>
          <w:rFonts w:hint="eastAsia" w:ascii="仿宋_GB2312" w:hAnsi="仿宋_GB2312" w:eastAsia="仿宋_GB2312" w:cs="仿宋_GB2312"/>
          <w:kern w:val="2"/>
          <w:sz w:val="32"/>
          <w:szCs w:val="32"/>
          <w:highlight w:val="none"/>
          <w:lang w:val="en-US" w:bidi="ar-SA"/>
        </w:rPr>
        <w:t>余人次，促进了教师与国内外同行专家的交流</w:t>
      </w:r>
      <w:r>
        <w:rPr>
          <w:rFonts w:hint="default" w:ascii="仿宋_GB2312" w:hAnsi="仿宋_GB2312" w:eastAsia="仿宋_GB2312" w:cs="仿宋_GB2312"/>
          <w:kern w:val="2"/>
          <w:sz w:val="32"/>
          <w:szCs w:val="32"/>
          <w:highlight w:val="none"/>
          <w:lang w:bidi="ar-SA"/>
        </w:rPr>
        <w:t>，</w:t>
      </w:r>
      <w:r>
        <w:rPr>
          <w:rFonts w:hint="default" w:ascii="Times New Roman" w:hAnsi="Times New Roman" w:eastAsia="仿宋_GB2312" w:cs="Times New Roman"/>
          <w:kern w:val="2"/>
          <w:sz w:val="32"/>
          <w:szCs w:val="32"/>
          <w:highlight w:val="none"/>
          <w:lang w:val="zh-CN" w:bidi="ar-SA"/>
        </w:rPr>
        <w:t>资助研究生参加各类国际国内学术交流达</w:t>
      </w:r>
      <w:r>
        <w:rPr>
          <w:rFonts w:hint="default" w:ascii="Times New Roman" w:hAnsi="Times New Roman" w:eastAsia="仿宋_GB2312" w:cs="Times New Roman"/>
          <w:kern w:val="2"/>
          <w:sz w:val="32"/>
          <w:szCs w:val="32"/>
          <w:highlight w:val="none"/>
          <w:lang w:bidi="ar-SA"/>
        </w:rPr>
        <w:t>1</w:t>
      </w:r>
      <w:r>
        <w:rPr>
          <w:rFonts w:hint="default" w:ascii="Times New Roman" w:hAnsi="Times New Roman" w:eastAsia="仿宋_GB2312" w:cs="Times New Roman"/>
          <w:kern w:val="2"/>
          <w:sz w:val="32"/>
          <w:szCs w:val="32"/>
          <w:highlight w:val="none"/>
          <w:lang w:val="zh-CN" w:bidi="ar-SA"/>
        </w:rPr>
        <w:t>0余人次</w:t>
      </w:r>
      <w:r>
        <w:rPr>
          <w:rFonts w:hint="default" w:ascii="Times New Roman" w:hAnsi="Times New Roman" w:eastAsia="仿宋_GB2312" w:cs="Times New Roman"/>
          <w:kern w:val="2"/>
          <w:sz w:val="32"/>
          <w:szCs w:val="32"/>
          <w:highlight w:val="none"/>
          <w:lang w:bidi="ar-SA"/>
        </w:rPr>
        <w:t>；</w:t>
      </w:r>
      <w:r>
        <w:rPr>
          <w:rFonts w:hint="default" w:ascii="Times New Roman" w:hAnsi="Times New Roman" w:eastAsia="仿宋_GB2312" w:cs="Times New Roman"/>
          <w:kern w:val="2"/>
          <w:sz w:val="32"/>
          <w:szCs w:val="32"/>
          <w:highlight w:val="none"/>
          <w:lang w:val="zh-TW" w:eastAsia="zh-TW" w:bidi="ar-SA"/>
        </w:rPr>
        <w:t>邀请专家</w:t>
      </w:r>
      <w:r>
        <w:rPr>
          <w:rFonts w:hint="default" w:ascii="Times New Roman" w:hAnsi="Times New Roman" w:eastAsia="仿宋_GB2312" w:cs="Times New Roman"/>
          <w:kern w:val="2"/>
          <w:sz w:val="32"/>
          <w:szCs w:val="32"/>
          <w:highlight w:val="none"/>
          <w:lang w:eastAsia="zh-TW" w:bidi="ar-SA"/>
        </w:rPr>
        <w:t>作报告</w:t>
      </w:r>
      <w:r>
        <w:rPr>
          <w:rFonts w:hint="eastAsia" w:ascii="Times New Roman" w:hAnsi="Times New Roman" w:eastAsia="仿宋_GB2312" w:cs="Times New Roman"/>
          <w:kern w:val="2"/>
          <w:sz w:val="32"/>
          <w:szCs w:val="32"/>
          <w:highlight w:val="none"/>
          <w:lang w:val="en-US" w:eastAsia="zh-CN" w:bidi="ar-SA"/>
        </w:rPr>
        <w:t>20</w:t>
      </w:r>
      <w:r>
        <w:rPr>
          <w:rFonts w:hint="default" w:ascii="Times New Roman" w:hAnsi="Times New Roman" w:eastAsia="仿宋_GB2312" w:cs="Times New Roman"/>
          <w:kern w:val="2"/>
          <w:sz w:val="32"/>
          <w:szCs w:val="32"/>
          <w:highlight w:val="none"/>
          <w:lang w:val="zh-CN" w:eastAsia="zh-TW" w:bidi="ar-SA"/>
        </w:rPr>
        <w:t>余场</w:t>
      </w:r>
      <w:r>
        <w:rPr>
          <w:rFonts w:hint="default" w:ascii="Times New Roman" w:hAnsi="Times New Roman" w:eastAsia="仿宋_GB2312" w:cs="Times New Roman"/>
          <w:kern w:val="2"/>
          <w:sz w:val="32"/>
          <w:szCs w:val="32"/>
          <w:highlight w:val="none"/>
          <w:lang w:val="zh-TW" w:eastAsia="zh-TW" w:bidi="ar-SA"/>
        </w:rPr>
        <w:t>。</w:t>
      </w:r>
    </w:p>
    <w:p>
      <w:pPr>
        <w:keepNext w:val="0"/>
        <w:keepLines w:val="0"/>
        <w:pageBreakBefore w:val="0"/>
        <w:widowControl w:val="0"/>
        <w:kinsoku/>
        <w:wordWrap/>
        <w:overflowPunct/>
        <w:topLinePunct w:val="0"/>
        <w:autoSpaceDE/>
        <w:autoSpaceDN/>
        <w:bidi w:val="0"/>
        <w:adjustRightInd w:val="0"/>
        <w:snapToGrid w:val="0"/>
        <w:spacing w:before="95" w:beforeLines="30" w:after="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.7.6质量保证</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学位点严格按照学校有关规定对研究生进行综合评价，严格执行规章制度，未出现研究生被分流淘汰。学位点严格按照学校相关文件精神对研究生学位论文全过程进行质量监控。学位论文主要采取调研报告、研究论文、产品开发、案例分析等形式撰写学位论文，均具有明确的</w:t>
      </w:r>
      <w:r>
        <w:rPr>
          <w:rFonts w:hint="default" w:ascii="仿宋_GB2312" w:hAnsi="仿宋_GB2312" w:eastAsia="仿宋_GB2312" w:cs="仿宋_GB2312"/>
          <w:kern w:val="2"/>
          <w:sz w:val="32"/>
          <w:szCs w:val="32"/>
          <w:lang w:bidi="ar-SA"/>
        </w:rPr>
        <w:t>行业</w:t>
      </w:r>
      <w:r>
        <w:rPr>
          <w:rFonts w:hint="eastAsia" w:ascii="仿宋_GB2312" w:hAnsi="仿宋_GB2312" w:eastAsia="仿宋_GB2312" w:cs="仿宋_GB2312"/>
          <w:kern w:val="2"/>
          <w:sz w:val="32"/>
          <w:szCs w:val="32"/>
          <w:lang w:val="en-US" w:bidi="ar-SA"/>
        </w:rPr>
        <w:t>背景</w:t>
      </w:r>
      <w:r>
        <w:rPr>
          <w:rFonts w:hint="default" w:ascii="仿宋_GB2312" w:hAnsi="仿宋_GB2312" w:eastAsia="仿宋_GB2312" w:cs="仿宋_GB2312"/>
          <w:kern w:val="2"/>
          <w:sz w:val="32"/>
          <w:szCs w:val="32"/>
          <w:lang w:bidi="ar-SA"/>
        </w:rPr>
        <w:t>或</w:t>
      </w:r>
      <w:r>
        <w:rPr>
          <w:rFonts w:hint="eastAsia" w:ascii="仿宋_GB2312" w:hAnsi="仿宋_GB2312" w:eastAsia="仿宋_GB2312" w:cs="仿宋_GB2312"/>
          <w:kern w:val="2"/>
          <w:sz w:val="32"/>
          <w:szCs w:val="32"/>
          <w:lang w:val="en-US" w:bidi="ar-SA"/>
        </w:rPr>
        <w:t>应用价值</w:t>
      </w:r>
      <w:r>
        <w:rPr>
          <w:rFonts w:hint="default" w:ascii="仿宋_GB2312" w:hAnsi="仿宋_GB2312" w:eastAsia="仿宋_GB2312" w:cs="仿宋_GB2312"/>
          <w:kern w:val="2"/>
          <w:sz w:val="32"/>
          <w:szCs w:val="32"/>
          <w:lang w:bidi="ar-SA"/>
        </w:rPr>
        <w:t>，未出现不合格论文</w:t>
      </w:r>
      <w:r>
        <w:rPr>
          <w:rFonts w:hint="eastAsia" w:ascii="仿宋_GB2312" w:hAnsi="仿宋_GB2312" w:eastAsia="仿宋_GB2312" w:cs="仿宋_GB2312"/>
          <w:kern w:val="2"/>
          <w:sz w:val="32"/>
          <w:szCs w:val="32"/>
          <w:lang w:val="en-US" w:bidi="ar-SA"/>
        </w:rPr>
        <w:t>。</w:t>
      </w:r>
    </w:p>
    <w:p>
      <w:pPr>
        <w:keepNext w:val="0"/>
        <w:keepLines w:val="0"/>
        <w:pageBreakBefore w:val="0"/>
        <w:widowControl w:val="0"/>
        <w:kinsoku/>
        <w:wordWrap/>
        <w:overflowPunct/>
        <w:topLinePunct w:val="0"/>
        <w:autoSpaceDE/>
        <w:autoSpaceDN/>
        <w:bidi w:val="0"/>
        <w:adjustRightInd w:val="0"/>
        <w:snapToGrid w:val="0"/>
        <w:spacing w:before="95" w:beforeLines="30" w:after="0" w:line="240" w:lineRule="auto"/>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.7.7</w:t>
      </w:r>
      <w:r>
        <w:rPr>
          <w:rFonts w:hint="default" w:ascii="Times New Roman" w:hAnsi="Times New Roman" w:eastAsia="仿宋_GB2312" w:cs="Times New Roman"/>
          <w:kern w:val="2"/>
          <w:sz w:val="32"/>
          <w:szCs w:val="32"/>
          <w:lang w:val="en-US" w:eastAsia="zh-CN" w:bidi="ar-SA"/>
        </w:rPr>
        <w:t>学风建设</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en-US" w:eastAsia="zh-CN" w:bidi="ar-SA"/>
        </w:rPr>
        <w:t>管理服务</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default" w:ascii="Times New Roman" w:hAnsi="Times New Roman" w:eastAsia="仿宋_GB2312" w:cs="Times New Roman"/>
          <w:kern w:val="2"/>
          <w:sz w:val="32"/>
          <w:szCs w:val="32"/>
          <w:lang w:val="zh-CN" w:bidi="ar-SA"/>
        </w:rPr>
      </w:pPr>
      <w:r>
        <w:rPr>
          <w:rFonts w:hint="default" w:ascii="Times New Roman" w:hAnsi="Times New Roman" w:eastAsia="仿宋_GB2312" w:cs="Times New Roman"/>
          <w:kern w:val="2"/>
          <w:sz w:val="32"/>
          <w:szCs w:val="32"/>
          <w:lang w:bidi="ar-SA"/>
        </w:rPr>
        <w:t>制作了学院《研究生手册》，</w:t>
      </w:r>
      <w:r>
        <w:rPr>
          <w:rFonts w:hint="default" w:ascii="Times New Roman" w:hAnsi="Times New Roman" w:eastAsia="仿宋_GB2312" w:cs="Times New Roman"/>
          <w:kern w:val="2"/>
          <w:sz w:val="32"/>
          <w:szCs w:val="32"/>
          <w:lang w:val="zh-CN" w:bidi="ar-SA"/>
        </w:rPr>
        <w:t>利用新生入学教育对研究生开展学术道德与学术规范宣讲，不定期开展学风教育讲座，通过院研究生分会开展学术道德自律活动和学习校院两级相关的规章制度。</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zh-CN" w:bidi="ar-SA"/>
        </w:rPr>
        <w:t>配齐思政辅导员和研究生管理服务队伍</w:t>
      </w:r>
      <w:r>
        <w:rPr>
          <w:rFonts w:hint="default" w:ascii="Times New Roman" w:hAnsi="Times New Roman" w:eastAsia="仿宋_GB2312" w:cs="Times New Roman"/>
          <w:kern w:val="2"/>
          <w:sz w:val="32"/>
          <w:szCs w:val="32"/>
          <w:lang w:val="zh-CN" w:eastAsia="zh-CN" w:bidi="ar-SA"/>
        </w:rPr>
        <w:t>，</w:t>
      </w:r>
      <w:r>
        <w:rPr>
          <w:rFonts w:hint="default" w:ascii="Times New Roman" w:hAnsi="Times New Roman" w:eastAsia="仿宋_GB2312" w:cs="Times New Roman"/>
          <w:kern w:val="2"/>
          <w:sz w:val="32"/>
          <w:szCs w:val="32"/>
          <w:lang w:val="zh-CN" w:bidi="ar-SA"/>
        </w:rPr>
        <w:t>配合研究生导师对研究生进行思政教育。及时发现特殊情况研究生并给予重点关注，对特殊情况研究生做到了“一人一档”。</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1.8服务贡献</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与中国空间技术研究院钱学森空间技术实验室联合培养高素质应用统计专硕人才；现已选派多名学生赴钱学森空间技术实验室，从事与空间技术相关的数据处理与机器学习的研究。积极服务地方建设与发展。主持承担“大数据时代交通流中的统计方法研究”等课题，为政府提高运行效率、科学预测与决策提供理论支撑，为行业生产管理与风险防控、产业发展及重大部署提供决策支撑和信息支持。积极服务企业建设与发展。</w:t>
      </w:r>
    </w:p>
    <w:p>
      <w:pPr>
        <w:pStyle w:val="9"/>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64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制度建设完善和执行情况</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2.1参与与执行学校制度情况</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根据学校的要求，学院按照博士、硕士研究生公开成果创新要求，严格</w:t>
      </w:r>
      <w:r>
        <w:rPr>
          <w:rFonts w:hint="eastAsia" w:ascii="Times New Roman" w:hAnsi="Times New Roman" w:eastAsia="仿宋_GB2312" w:cs="Times New Roman"/>
          <w:color w:val="auto"/>
          <w:kern w:val="2"/>
          <w:sz w:val="32"/>
          <w:szCs w:val="32"/>
          <w:lang w:val="en-US" w:eastAsia="zh-CN" w:bidi="ar-SA"/>
        </w:rPr>
        <w:t>执行</w:t>
      </w:r>
      <w:r>
        <w:rPr>
          <w:rFonts w:hint="eastAsia" w:ascii="Times New Roman" w:hAnsi="Times New Roman" w:eastAsia="仿宋_GB2312" w:cs="Times New Roman"/>
          <w:color w:val="auto"/>
          <w:kern w:val="2"/>
          <w:sz w:val="32"/>
          <w:szCs w:val="32"/>
          <w:lang w:eastAsia="zh-CN" w:bidi="ar-SA"/>
        </w:rPr>
        <w:t>“</w:t>
      </w:r>
      <w:r>
        <w:rPr>
          <w:rFonts w:hint="eastAsia" w:ascii="Times New Roman" w:hAnsi="Times New Roman" w:eastAsia="仿宋_GB2312" w:cs="Times New Roman"/>
          <w:color w:val="auto"/>
          <w:kern w:val="2"/>
          <w:sz w:val="32"/>
          <w:szCs w:val="32"/>
          <w:lang w:val="en-US" w:eastAsia="zh-CN" w:bidi="ar-SA"/>
        </w:rPr>
        <w:t>湘潭大学研究生毕业与学位授予分离实施办法</w:t>
      </w:r>
      <w:r>
        <w:rPr>
          <w:rFonts w:hint="eastAsia" w:ascii="Times New Roman" w:hAnsi="Times New Roman" w:eastAsia="仿宋_GB2312" w:cs="Times New Roman"/>
          <w:color w:val="auto"/>
          <w:kern w:val="2"/>
          <w:sz w:val="32"/>
          <w:szCs w:val="32"/>
          <w:lang w:eastAsia="zh-CN" w:bidi="ar-SA"/>
        </w:rPr>
        <w:t>（试行）”“</w:t>
      </w:r>
      <w:r>
        <w:rPr>
          <w:rFonts w:hint="eastAsia" w:ascii="Times New Roman" w:hAnsi="Times New Roman" w:eastAsia="仿宋_GB2312" w:cs="Times New Roman"/>
          <w:color w:val="auto"/>
          <w:kern w:val="2"/>
          <w:sz w:val="32"/>
          <w:szCs w:val="32"/>
          <w:lang w:val="en-US" w:eastAsia="zh-CN" w:bidi="ar-SA"/>
        </w:rPr>
        <w:t>湘潭大学硕士、博士学位授予工作实施细则</w:t>
      </w:r>
      <w:r>
        <w:rPr>
          <w:rFonts w:hint="eastAsia" w:ascii="Times New Roman" w:hAnsi="Times New Roman" w:eastAsia="仿宋_GB2312" w:cs="Times New Roman"/>
          <w:color w:val="auto"/>
          <w:kern w:val="2"/>
          <w:sz w:val="32"/>
          <w:szCs w:val="32"/>
          <w:lang w:eastAsia="zh-CN" w:bidi="ar-SA"/>
        </w:rPr>
        <w:t>”“湘潭大学研究生指导教师遴选工作实施细则”等文件</w:t>
      </w:r>
      <w:r>
        <w:rPr>
          <w:rFonts w:hint="eastAsia" w:ascii="Times New Roman" w:hAnsi="Times New Roman" w:eastAsia="仿宋_GB2312" w:cs="Times New Roman"/>
          <w:color w:val="auto"/>
          <w:kern w:val="2"/>
          <w:sz w:val="32"/>
          <w:szCs w:val="32"/>
          <w:lang w:val="en-US" w:eastAsia="zh-CN" w:bidi="ar-SA"/>
        </w:rPr>
        <w:t>精神</w:t>
      </w:r>
      <w:r>
        <w:rPr>
          <w:rFonts w:hint="eastAsia" w:ascii="Times New Roman" w:hAnsi="Times New Roman" w:eastAsia="仿宋_GB2312" w:cs="Times New Roman"/>
          <w:color w:val="auto"/>
          <w:kern w:val="2"/>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2.2本学位授权点制度建设与执行情况</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default" w:ascii="Times New Roman" w:hAnsi="Times New Roman" w:eastAsia="仿宋_GB2312" w:cs="Times New Roman"/>
          <w:kern w:val="2"/>
          <w:sz w:val="32"/>
          <w:szCs w:val="32"/>
          <w:lang w:val="zh-CN" w:eastAsia="zh-TW" w:bidi="ar-SA"/>
        </w:rPr>
      </w:pPr>
      <w:r>
        <w:rPr>
          <w:rFonts w:hint="default" w:ascii="Times New Roman" w:hAnsi="Times New Roman" w:eastAsia="仿宋_GB2312" w:cs="Times New Roman"/>
          <w:kern w:val="2"/>
          <w:sz w:val="32"/>
          <w:szCs w:val="32"/>
          <w:lang w:val="zh-CN" w:eastAsia="zh-CN" w:bidi="ar-SA"/>
        </w:rPr>
        <w:t>严格执行学校的研究生培养和学位点建设的相关制度，相关文档保存完好。</w:t>
      </w:r>
    </w:p>
    <w:p>
      <w:pPr>
        <w:pStyle w:val="9"/>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640"/>
        <w:textAlignment w:val="auto"/>
        <w:outlineLvl w:val="0"/>
        <w:rPr>
          <w:rFonts w:hint="default" w:ascii="黑体" w:hAnsi="黑体" w:eastAsia="黑体" w:cs="黑体"/>
          <w:sz w:val="32"/>
          <w:szCs w:val="32"/>
        </w:rPr>
      </w:pPr>
      <w:r>
        <w:rPr>
          <w:rFonts w:hint="eastAsia" w:ascii="黑体" w:hAnsi="黑体" w:eastAsia="黑体" w:cs="黑体"/>
          <w:sz w:val="32"/>
          <w:szCs w:val="32"/>
        </w:rPr>
        <w:t>三、针对留存问题整改情况和下一年度建设计划</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3.1整改情况</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outlineLvl w:val="9"/>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逐步加强了实践教育条件建设，与</w:t>
      </w:r>
      <w:r>
        <w:rPr>
          <w:rFonts w:hint="default" w:ascii="Times New Roman" w:hAnsi="Times New Roman" w:eastAsia="仿宋_GB2312" w:cs="Times New Roman"/>
          <w:color w:val="auto"/>
          <w:kern w:val="2"/>
          <w:sz w:val="32"/>
          <w:szCs w:val="32"/>
          <w:lang w:val="zh-CN" w:bidi="ar-SA"/>
        </w:rPr>
        <w:t>中国空间技术研究院钱学森空间技术实验室</w:t>
      </w:r>
      <w:r>
        <w:rPr>
          <w:rFonts w:hint="eastAsia" w:ascii="Times New Roman" w:hAnsi="Times New Roman" w:eastAsia="仿宋_GB2312" w:cs="Times New Roman"/>
          <w:color w:val="auto"/>
          <w:kern w:val="2"/>
          <w:sz w:val="32"/>
          <w:szCs w:val="32"/>
          <w:lang w:val="zh-CN" w:bidi="ar-SA"/>
        </w:rPr>
        <w:t>、</w:t>
      </w:r>
      <w:r>
        <w:rPr>
          <w:rFonts w:hint="eastAsia" w:ascii="Times New Roman" w:hAnsi="Times New Roman" w:eastAsia="仿宋_GB2312" w:cs="Times New Roman"/>
          <w:color w:val="auto"/>
          <w:kern w:val="2"/>
          <w:sz w:val="32"/>
          <w:szCs w:val="32"/>
          <w:lang w:val="en-US" w:eastAsia="zh-CN" w:bidi="ar-SA"/>
        </w:rPr>
        <w:t>国防科技大学</w:t>
      </w:r>
      <w:r>
        <w:rPr>
          <w:rFonts w:hint="default" w:ascii="Times New Roman" w:hAnsi="Times New Roman" w:eastAsia="仿宋_GB2312" w:cs="Times New Roman"/>
          <w:color w:val="auto"/>
          <w:kern w:val="2"/>
          <w:sz w:val="32"/>
          <w:szCs w:val="32"/>
          <w:lang w:val="zh-CN" w:bidi="ar-SA"/>
        </w:rPr>
        <w:t>等联合培养研究生。</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3.2下一年度工作计划</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bidi="ar-SA"/>
        </w:rPr>
      </w:pPr>
      <w:r>
        <w:rPr>
          <w:rFonts w:hint="default" w:ascii="仿宋_GB2312" w:hAnsi="仿宋_GB2312" w:eastAsia="仿宋_GB2312" w:cs="仿宋_GB2312"/>
          <w:kern w:val="2"/>
          <w:sz w:val="32"/>
          <w:szCs w:val="32"/>
          <w:lang w:bidi="ar-SA"/>
        </w:rPr>
        <w:t>学位点</w:t>
      </w:r>
      <w:r>
        <w:rPr>
          <w:rFonts w:hint="eastAsia" w:ascii="仿宋_GB2312" w:hAnsi="仿宋_GB2312" w:eastAsia="仿宋_GB2312" w:cs="仿宋_GB2312"/>
          <w:kern w:val="2"/>
          <w:sz w:val="32"/>
          <w:szCs w:val="32"/>
          <w:lang w:val="en-US" w:bidi="ar-SA"/>
        </w:rPr>
        <w:t>研究生教育层次和水平已有</w:t>
      </w:r>
      <w:r>
        <w:rPr>
          <w:rFonts w:hint="default" w:ascii="仿宋_GB2312" w:hAnsi="仿宋_GB2312" w:eastAsia="仿宋_GB2312" w:cs="仿宋_GB2312"/>
          <w:kern w:val="2"/>
          <w:sz w:val="32"/>
          <w:szCs w:val="32"/>
          <w:lang w:bidi="ar-SA"/>
        </w:rPr>
        <w:t>较大提升</w:t>
      </w:r>
      <w:r>
        <w:rPr>
          <w:rFonts w:hint="eastAsia" w:ascii="仿宋_GB2312" w:hAnsi="仿宋_GB2312" w:eastAsia="仿宋_GB2312" w:cs="仿宋_GB2312"/>
          <w:kern w:val="2"/>
          <w:sz w:val="32"/>
          <w:szCs w:val="32"/>
          <w:lang w:val="en-US" w:bidi="ar-SA"/>
        </w:rPr>
        <w:t>，但与国际同类先进水平相比，还存在一定差距，主要表现在：专硕学硕化现象较为明显，对专硕实施与学硕</w:t>
      </w:r>
      <w:r>
        <w:rPr>
          <w:rFonts w:hint="default" w:ascii="仿宋_GB2312" w:hAnsi="仿宋_GB2312" w:eastAsia="仿宋_GB2312" w:cs="仿宋_GB2312"/>
          <w:kern w:val="2"/>
          <w:sz w:val="32"/>
          <w:szCs w:val="32"/>
          <w:lang w:bidi="ar-SA"/>
        </w:rPr>
        <w:t>同质化</w:t>
      </w:r>
      <w:r>
        <w:rPr>
          <w:rFonts w:hint="eastAsia" w:ascii="仿宋_GB2312" w:hAnsi="仿宋_GB2312" w:eastAsia="仿宋_GB2312" w:cs="仿宋_GB2312"/>
          <w:kern w:val="2"/>
          <w:sz w:val="32"/>
          <w:szCs w:val="32"/>
          <w:lang w:val="en-US" w:bidi="ar-SA"/>
        </w:rPr>
        <w:t>的管理模式。本学位点将采取如下措施：</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1) 进一步加强统计学专业师资队伍的建设，特别要加大有行业从业背景的师资引进与培养；</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2) </w:t>
      </w:r>
      <w:r>
        <w:rPr>
          <w:rFonts w:hint="default" w:ascii="仿宋_GB2312" w:hAnsi="仿宋_GB2312" w:eastAsia="仿宋_GB2312" w:cs="仿宋_GB2312"/>
          <w:kern w:val="2"/>
          <w:sz w:val="32"/>
          <w:szCs w:val="32"/>
          <w:lang w:bidi="ar-SA"/>
        </w:rPr>
        <w:t>持续</w:t>
      </w:r>
      <w:r>
        <w:rPr>
          <w:rFonts w:hint="eastAsia" w:ascii="仿宋_GB2312" w:hAnsi="仿宋_GB2312" w:eastAsia="仿宋_GB2312" w:cs="仿宋_GB2312"/>
          <w:kern w:val="2"/>
          <w:sz w:val="32"/>
          <w:szCs w:val="32"/>
          <w:lang w:val="en-US" w:bidi="ar-SA"/>
        </w:rPr>
        <w:t>加大对学位点建设经费的支持，确保课程设置更为科学合理、培养目标明确，</w:t>
      </w:r>
      <w:r>
        <w:rPr>
          <w:rFonts w:hint="default" w:ascii="仿宋_GB2312" w:hAnsi="仿宋_GB2312" w:eastAsia="仿宋_GB2312" w:cs="仿宋_GB2312"/>
          <w:kern w:val="2"/>
          <w:sz w:val="32"/>
          <w:szCs w:val="32"/>
          <w:lang w:bidi="ar-SA"/>
        </w:rPr>
        <w:t>加强</w:t>
      </w:r>
      <w:r>
        <w:rPr>
          <w:rFonts w:hint="eastAsia" w:ascii="仿宋_GB2312" w:hAnsi="仿宋_GB2312" w:eastAsia="仿宋_GB2312" w:cs="仿宋_GB2312"/>
          <w:kern w:val="2"/>
          <w:sz w:val="32"/>
          <w:szCs w:val="32"/>
          <w:lang w:val="en-US" w:bidi="ar-SA"/>
        </w:rPr>
        <w:t>专业学位应用和数据分析能力的培养，</w:t>
      </w:r>
      <w:r>
        <w:rPr>
          <w:rFonts w:hint="default" w:ascii="仿宋_GB2312" w:hAnsi="仿宋_GB2312" w:eastAsia="仿宋_GB2312" w:cs="仿宋_GB2312"/>
          <w:kern w:val="2"/>
          <w:sz w:val="32"/>
          <w:szCs w:val="32"/>
          <w:lang w:bidi="ar-SA"/>
        </w:rPr>
        <w:t>积极</w:t>
      </w:r>
      <w:r>
        <w:rPr>
          <w:rFonts w:hint="eastAsia" w:ascii="仿宋_GB2312" w:hAnsi="仿宋_GB2312" w:eastAsia="仿宋_GB2312" w:cs="仿宋_GB2312"/>
          <w:kern w:val="2"/>
          <w:sz w:val="32"/>
          <w:szCs w:val="32"/>
          <w:lang w:val="en-US" w:bidi="ar-SA"/>
        </w:rPr>
        <w:t>探索新的特色培养模式。</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eastAsia" w:ascii="仿宋_GB2312" w:hAnsi="仿宋_GB2312" w:eastAsia="仿宋_GB2312" w:cs="仿宋_GB2312"/>
          <w:kern w:val="2"/>
          <w:sz w:val="32"/>
          <w:szCs w:val="32"/>
          <w:lang w:bidi="ar-SA"/>
        </w:rPr>
      </w:pPr>
      <w:r>
        <w:rPr>
          <w:rFonts w:hint="default" w:ascii="仿宋_GB2312" w:hAnsi="仿宋_GB2312" w:eastAsia="仿宋_GB2312" w:cs="仿宋_GB2312"/>
          <w:kern w:val="2"/>
          <w:sz w:val="32"/>
          <w:szCs w:val="32"/>
          <w:lang w:eastAsia="zh-CN" w:bidi="ar-SA"/>
        </w:rPr>
        <w:t>3) 建设《统计计算》在线示范课程，加强教学案例库建设。</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bidi="ar-SA"/>
        </w:rPr>
        <w:t>4</w:t>
      </w:r>
      <w:r>
        <w:rPr>
          <w:rFonts w:hint="eastAsia" w:ascii="仿宋_GB2312" w:hAnsi="仿宋_GB2312" w:eastAsia="仿宋_GB2312" w:cs="仿宋_GB2312"/>
          <w:kern w:val="2"/>
          <w:sz w:val="32"/>
          <w:szCs w:val="32"/>
          <w:lang w:val="en-US" w:bidi="ar-SA"/>
        </w:rPr>
        <w:t>) </w:t>
      </w:r>
      <w:r>
        <w:rPr>
          <w:rFonts w:hint="default" w:ascii="仿宋_GB2312" w:hAnsi="仿宋_GB2312" w:eastAsia="仿宋_GB2312" w:cs="仿宋_GB2312"/>
          <w:kern w:val="2"/>
          <w:sz w:val="32"/>
          <w:szCs w:val="32"/>
          <w:lang w:val="en-US" w:eastAsia="zh-TW" w:bidi="ar-SA"/>
        </w:rPr>
        <w:t>改善研究生培养软</w:t>
      </w:r>
      <w:r>
        <w:rPr>
          <w:rFonts w:hint="default" w:ascii="Times New Roman" w:hAnsi="Times New Roman" w:eastAsia="仿宋_GB2312" w:cs="Times New Roman"/>
          <w:kern w:val="2"/>
          <w:sz w:val="32"/>
          <w:szCs w:val="32"/>
          <w:lang w:eastAsia="zh-TW" w:bidi="ar-SA"/>
        </w:rPr>
        <w:t>硬件条件，尽量保障每一个研究生有一个卡座，增设研究生讨论室</w:t>
      </w:r>
      <w:r>
        <w:rPr>
          <w:rFonts w:hint="eastAsia" w:ascii="仿宋_GB2312" w:hAnsi="仿宋_GB2312" w:eastAsia="仿宋_GB2312" w:cs="仿宋_GB2312"/>
          <w:kern w:val="2"/>
          <w:sz w:val="32"/>
          <w:szCs w:val="32"/>
          <w:lang w:val="en-US" w:bidi="ar-SA"/>
        </w:rPr>
        <w:t>，积极开拓应用统计专业实践教学资源建设和实践基地建设。</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Times New Roman PS Std"/>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Times New Roman PS Std">
    <w:panose1 w:val="02020503050405020304"/>
    <w:charset w:val="00"/>
    <w:family w:val="auto"/>
    <w:pitch w:val="default"/>
    <w:sig w:usb0="800000AF" w:usb1="5000205B" w:usb2="00000000" w:usb3="00000000" w:csb0="00000001" w:csb1="00000000"/>
  </w:font>
  <w:font w:name="Lucida Sans">
    <w:panose1 w:val="020B0602030504020204"/>
    <w:charset w:val="00"/>
    <w:family w:val="auto"/>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decorative"/>
    <w:pitch w:val="default"/>
    <w:sig w:usb0="00000000" w:usb1="00000000"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仿宋简体">
    <w:altName w:val="方正仿宋_GBK"/>
    <w:panose1 w:val="00000000000000000000"/>
    <w:charset w:val="86"/>
    <w:family w:val="script"/>
    <w:pitch w:val="default"/>
    <w:sig w:usb0="00000000" w:usb1="00000000" w:usb2="0000001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新宋体">
    <w:panose1 w:val="02010600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altName w:val="宋体"/>
    <w:panose1 w:val="020B0604030504040204"/>
    <w:charset w:val="88"/>
    <w:family w:val="modern"/>
    <w:pitch w:val="default"/>
    <w:sig w:usb0="00000000" w:usb1="000000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Lucida Sans"/>
    <w:panose1 w:val="020B0604030504040204"/>
    <w:charset w:val="00"/>
    <w:family w:val="auto"/>
    <w:pitch w:val="default"/>
    <w:sig w:usb0="00000000" w:usb1="00000000" w:usb2="00000029" w:usb3="00000000" w:csb0="200101FF" w:csb1="20280000"/>
  </w:font>
  <w:font w:name="方圆钢笔粉笔字">
    <w:panose1 w:val="020B0602010101010101"/>
    <w:charset w:val="86"/>
    <w:family w:val="auto"/>
    <w:pitch w:val="default"/>
    <w:sig w:usb0="800002FF" w:usb1="FADFFFFF" w:usb2="00040037" w:usb3="00000000" w:csb0="601E019F" w:csb1="9FD7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MTNkOWJhYTIwZmNjMzUwY2Y1OGNhMGRlMWQ1ZmQifQ=="/>
  </w:docVars>
  <w:rsids>
    <w:rsidRoot w:val="752808D9"/>
    <w:rsid w:val="037D56E7"/>
    <w:rsid w:val="03815668"/>
    <w:rsid w:val="044A23B6"/>
    <w:rsid w:val="05C440E8"/>
    <w:rsid w:val="0AD36A3C"/>
    <w:rsid w:val="1BF27AC5"/>
    <w:rsid w:val="1D4A1C4D"/>
    <w:rsid w:val="1F5053E5"/>
    <w:rsid w:val="23040BE2"/>
    <w:rsid w:val="24674C1F"/>
    <w:rsid w:val="2FFF413E"/>
    <w:rsid w:val="37E70DE2"/>
    <w:rsid w:val="3BCC6AF5"/>
    <w:rsid w:val="44ED7D0B"/>
    <w:rsid w:val="52EF204D"/>
    <w:rsid w:val="58337790"/>
    <w:rsid w:val="5F962057"/>
    <w:rsid w:val="5FBEAEED"/>
    <w:rsid w:val="61581AB9"/>
    <w:rsid w:val="73BEF2FA"/>
    <w:rsid w:val="752808D9"/>
    <w:rsid w:val="9FFB5E14"/>
    <w:rsid w:val="F1BBF98D"/>
    <w:rsid w:val="F6F30A8A"/>
    <w:rsid w:val="FBFFED64"/>
    <w:rsid w:val="FCF55558"/>
    <w:rsid w:val="FEFC8B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220"/>
    </w:pPr>
    <w:rPr>
      <w:rFonts w:ascii="宋体" w:hAnsi="宋体" w:eastAsia="宋体" w:cs="宋体"/>
      <w:sz w:val="28"/>
      <w:szCs w:val="28"/>
      <w:lang w:val="zh-CN" w:eastAsia="zh-CN" w:bidi="zh-CN"/>
    </w:rPr>
  </w:style>
  <w:style w:type="paragraph" w:styleId="4">
    <w:name w:val="Normal (Web)"/>
    <w:basedOn w:val="1"/>
    <w:qFormat/>
    <w:uiPriority w:val="0"/>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15"/>
    <w:basedOn w:val="5"/>
    <w:qFormat/>
    <w:uiPriority w:val="0"/>
    <w:rPr>
      <w:rFonts w:hint="default" w:ascii="Calibri" w:hAnsi="Calibri" w:eastAsia="方正仿宋简体" w:cs="Times New Roman"/>
      <w:kern w:val="2"/>
      <w:sz w:val="32"/>
      <w:szCs w:val="32"/>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C4C4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3186</Words>
  <Characters>3298</Characters>
  <Lines>0</Lines>
  <Paragraphs>0</Paragraphs>
  <TotalTime>0</TotalTime>
  <ScaleCrop>false</ScaleCrop>
  <LinksUpToDate>false</LinksUpToDate>
  <CharactersWithSpaces>3317</CharactersWithSpaces>
  <Application>WPS Office 社区版_10.1.0.5672_F1E327BC-269C-435d-A152-05C5408002CA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2022-03-04T08:31:00Z</dcterms:created>
  <dc:creator>琼</dc:creator>
  <cp:lastModifiedBy>litfish</cp:lastModifiedBy>
  <dcterms:modified xsi:type="dcterms:W3CDTF">2023-02-20T08:22:08Z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2052-10.1.0.5672</vt:lpwstr>
  </property>
  <property fmtid="{D5CDD505-2E9C-101B-9397-08002B2CF9AE}" pid="3" name="ICV">
    <vt:lpwstr>695E5EBF79F942818F25F70A87E06A21</vt:lpwstr>
  </property>
</Properties>
</file>